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DB1" w14:textId="07D608C9" w:rsidR="008545BB" w:rsidRPr="007E513A" w:rsidRDefault="007E513A" w:rsidP="007E513A">
      <w:pPr>
        <w:pStyle w:val="Title"/>
      </w:pPr>
      <w:r>
        <w:t xml:space="preserve">Analytický doplněk </w:t>
      </w:r>
      <w:r>
        <w:br/>
        <w:t xml:space="preserve">ke </w:t>
      </w:r>
      <w:r w:rsidR="008545BB" w:rsidRPr="007E513A">
        <w:t>Zpráv</w:t>
      </w:r>
      <w:r>
        <w:t>ě</w:t>
      </w:r>
      <w:r w:rsidR="008545BB" w:rsidRPr="007E513A">
        <w:t xml:space="preserve"> o stavu demence 2014</w:t>
      </w:r>
    </w:p>
    <w:p w14:paraId="25821E86" w14:textId="2F6D19B2" w:rsidR="007E513A" w:rsidRPr="007E513A" w:rsidRDefault="008545BB" w:rsidP="007E513A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Autorský kolektiv: </w:t>
      </w:r>
      <w:r w:rsidR="0042487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Ondřej Mátl, Iva</w:t>
      </w:r>
      <w:r w:rsidRP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Holmerová, </w:t>
      </w:r>
      <w:r w:rsidR="0042487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Martina</w:t>
      </w:r>
      <w:r w:rsidRP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Mátl</w:t>
      </w:r>
      <w:r w:rsidR="0042487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ová,</w:t>
      </w:r>
      <w:r w:rsid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7E513A" w:rsidRP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Česká </w:t>
      </w:r>
      <w:proofErr w:type="spellStart"/>
      <w:r w:rsidR="007E513A" w:rsidRP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alzheimerovská</w:t>
      </w:r>
      <w:proofErr w:type="spellEnd"/>
      <w:r w:rsidR="007E513A" w:rsidRPr="007E51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společnost, 2014</w:t>
      </w:r>
    </w:p>
    <w:p w14:paraId="06A03C77" w14:textId="42D2A148" w:rsidR="008545BB" w:rsidRPr="007E513A" w:rsidRDefault="008545BB" w:rsidP="007336F1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50E02AE1" w14:textId="2DA2197F" w:rsidR="007336F1" w:rsidRDefault="0013170B" w:rsidP="007336F1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t xml:space="preserve">Místo </w:t>
      </w:r>
      <w:r w:rsidR="00EF2CE1">
        <w:rPr>
          <w:sz w:val="40"/>
          <w:szCs w:val="40"/>
        </w:rPr>
        <w:t xml:space="preserve">zdlouhavého </w:t>
      </w:r>
      <w:r>
        <w:rPr>
          <w:sz w:val="40"/>
          <w:szCs w:val="40"/>
        </w:rPr>
        <w:t>ú</w:t>
      </w:r>
      <w:r w:rsidR="007336F1">
        <w:rPr>
          <w:sz w:val="40"/>
          <w:szCs w:val="40"/>
        </w:rPr>
        <w:t>vod</w:t>
      </w:r>
      <w:r>
        <w:rPr>
          <w:sz w:val="40"/>
          <w:szCs w:val="40"/>
        </w:rPr>
        <w:t>u...</w:t>
      </w:r>
    </w:p>
    <w:p w14:paraId="13A98EA7" w14:textId="553F5AC8" w:rsidR="00513CAB" w:rsidRDefault="00513CAB" w:rsidP="00376294">
      <w:r>
        <w:t xml:space="preserve">V České republice se pravidelně vydává poměrně </w:t>
      </w:r>
      <w:r w:rsidRPr="00816807">
        <w:rPr>
          <w:b/>
        </w:rPr>
        <w:t>velké množství zpráv o stavu</w:t>
      </w:r>
      <w:r>
        <w:t xml:space="preserve">. Každoročně si můžeme přečíst, jaký je stav našeho vzdělávání, jak je na tom české zemědělství, jaký je stav tuzemského životního prostředí, </w:t>
      </w:r>
      <w:r w:rsidR="003B1B89">
        <w:t xml:space="preserve">jak se České republice daří s ohledem na konkurenceschopnost ekonomiky, jak se nám daří řešit problém korupce, </w:t>
      </w:r>
      <w:r>
        <w:t xml:space="preserve">jaký je stav lidských práv, </w:t>
      </w:r>
      <w:r w:rsidR="00560C2C">
        <w:t xml:space="preserve">apod. V sektoru zdravotnictví jsou </w:t>
      </w:r>
      <w:r w:rsidR="003B1B89">
        <w:t xml:space="preserve">však </w:t>
      </w:r>
      <w:r w:rsidR="00560C2C">
        <w:t xml:space="preserve">pravidelné analytické zprávy o stavu, pomineme-li spíše technicistní zdravotnickou ročenku a přehledové výroční zprávy a účetní závěrky pojišťoven, již méně časté, v sociální oblasti pak téměř sporadické. </w:t>
      </w:r>
      <w:r w:rsidR="00D72F37">
        <w:t xml:space="preserve">Tomu odpovídá i </w:t>
      </w:r>
      <w:r w:rsidR="00D72F37" w:rsidRPr="00816807">
        <w:rPr>
          <w:b/>
        </w:rPr>
        <w:t>neexistence přehledových informací o problematice demence</w:t>
      </w:r>
      <w:r w:rsidR="00D72F37">
        <w:t xml:space="preserve">, která </w:t>
      </w:r>
      <w:r w:rsidR="00B453CE">
        <w:t>zasahuje jak do oblasti zdravotnictví, tak do sektoru sociálního.</w:t>
      </w:r>
    </w:p>
    <w:p w14:paraId="651B0FF4" w14:textId="14BA890A" w:rsidR="00D72F37" w:rsidRDefault="003B1B89" w:rsidP="00376294">
      <w:r>
        <w:t xml:space="preserve">Zatímco v jiných státech je poměrně běžné, že pravidelně vychází </w:t>
      </w:r>
      <w:r w:rsidR="00DE5935">
        <w:t xml:space="preserve">veřejně publikované </w:t>
      </w:r>
      <w:r>
        <w:t xml:space="preserve">zprávy o stavu demence a dopadech Alzheimerovy nemoci, v tuzemsku jsme dosud svědky takového počinu nebyli. </w:t>
      </w:r>
      <w:r w:rsidR="00D72F37" w:rsidRPr="00816807">
        <w:rPr>
          <w:b/>
        </w:rPr>
        <w:t>O této nemoci, jejich příčinách a dopadech, lidech, kteří tímto onemocněním trpí, poskytovatelích, kteří se snaží pomoci s péčí, a celkovém prostředí toho víme velmi málo.</w:t>
      </w:r>
      <w:r w:rsidR="00D72F37">
        <w:t xml:space="preserve"> Přitom data o situaci v jiných státech ukazují, že</w:t>
      </w:r>
      <w:r w:rsidR="00B453CE">
        <w:t xml:space="preserve"> jde o velmi závažné onemocnění, které patří mezi hlavní příčiny úmrtí, a jehož výskyt </w:t>
      </w:r>
      <w:r w:rsidR="00612B2B">
        <w:t xml:space="preserve">v souvislosti se stárnutím populace </w:t>
      </w:r>
      <w:r w:rsidR="00B453CE">
        <w:t>neustále narůstá.</w:t>
      </w:r>
    </w:p>
    <w:p w14:paraId="48266F16" w14:textId="112E0470" w:rsidR="003B1B89" w:rsidRDefault="000C1D28" w:rsidP="00376294">
      <w:r>
        <w:t xml:space="preserve">Snahou České </w:t>
      </w:r>
      <w:proofErr w:type="spellStart"/>
      <w:r>
        <w:t>a</w:t>
      </w:r>
      <w:r w:rsidR="00B453CE">
        <w:t>lzheimerovské</w:t>
      </w:r>
      <w:proofErr w:type="spellEnd"/>
      <w:r w:rsidR="00D72F37">
        <w:t xml:space="preserve"> společnost</w:t>
      </w:r>
      <w:r w:rsidR="00B453CE">
        <w:t xml:space="preserve">i je tento nedostatek informací napravit. </w:t>
      </w:r>
      <w:r w:rsidR="003054CF">
        <w:t>Zpráva o stavu demence se věnuje vymezení demence a dalších souvisejících pojmů, přináší podrobnější pohled na potřebu, poptávku a nabídku služeb (analytický model determinant péče o lidi s de</w:t>
      </w:r>
      <w:r w:rsidR="008545BB">
        <w:t>mencí) a dokumentuje ekonomické a</w:t>
      </w:r>
      <w:r w:rsidR="003054CF">
        <w:t xml:space="preserve"> politické prostředí, ve kterém se poskytování péče pro lidi s demencí odehrává.</w:t>
      </w:r>
      <w:r w:rsidR="008545BB">
        <w:t xml:space="preserve"> Speciální pozornost je přitom věnována regionálním rozdílům.</w:t>
      </w:r>
      <w:r w:rsidR="003054CF">
        <w:t xml:space="preserve"> </w:t>
      </w:r>
      <w:r w:rsidR="003B1B89" w:rsidRPr="00816807">
        <w:rPr>
          <w:b/>
        </w:rPr>
        <w:t xml:space="preserve">Cílem </w:t>
      </w:r>
      <w:r w:rsidR="007E513A">
        <w:rPr>
          <w:b/>
        </w:rPr>
        <w:t>analytického doplňku</w:t>
      </w:r>
      <w:r w:rsidR="008F4FC2">
        <w:rPr>
          <w:rStyle w:val="FootnoteReference"/>
          <w:b/>
        </w:rPr>
        <w:footnoteReference w:id="1"/>
      </w:r>
      <w:r w:rsidR="007E513A">
        <w:rPr>
          <w:b/>
        </w:rPr>
        <w:t xml:space="preserve"> </w:t>
      </w:r>
      <w:r w:rsidR="003B1B89" w:rsidRPr="00816807">
        <w:rPr>
          <w:b/>
        </w:rPr>
        <w:t xml:space="preserve">zprávy </w:t>
      </w:r>
      <w:r w:rsidR="00B453CE" w:rsidRPr="00816807">
        <w:rPr>
          <w:b/>
        </w:rPr>
        <w:t xml:space="preserve">o stavu demence </w:t>
      </w:r>
      <w:r w:rsidR="003B1B89" w:rsidRPr="00816807">
        <w:rPr>
          <w:b/>
        </w:rPr>
        <w:t xml:space="preserve">je </w:t>
      </w:r>
      <w:r w:rsidR="00D72F37" w:rsidRPr="00816807">
        <w:rPr>
          <w:b/>
        </w:rPr>
        <w:t>poskytnout</w:t>
      </w:r>
      <w:r w:rsidR="00B453CE" w:rsidRPr="00816807">
        <w:rPr>
          <w:b/>
        </w:rPr>
        <w:t xml:space="preserve"> </w:t>
      </w:r>
      <w:r w:rsidR="007E513A">
        <w:rPr>
          <w:b/>
        </w:rPr>
        <w:t xml:space="preserve">podrobnější </w:t>
      </w:r>
      <w:r w:rsidR="00B453CE" w:rsidRPr="00816807">
        <w:rPr>
          <w:b/>
        </w:rPr>
        <w:t>informace</w:t>
      </w:r>
      <w:r w:rsidR="000860B6" w:rsidRPr="00816807">
        <w:rPr>
          <w:b/>
        </w:rPr>
        <w:t xml:space="preserve"> o dané oblasti </w:t>
      </w:r>
      <w:r w:rsidR="007E513A">
        <w:rPr>
          <w:b/>
        </w:rPr>
        <w:t>s využitím podrobnějších datových podkladů.</w:t>
      </w:r>
    </w:p>
    <w:p w14:paraId="548B74D4" w14:textId="77323A1D" w:rsidR="00376294" w:rsidRPr="00560C2C" w:rsidRDefault="00376294" w:rsidP="007E513A">
      <w:pPr>
        <w:keepNext/>
        <w:rPr>
          <w:i/>
        </w:rPr>
      </w:pPr>
      <w:r w:rsidRPr="00560C2C">
        <w:rPr>
          <w:i/>
        </w:rPr>
        <w:lastRenderedPageBreak/>
        <w:t>Schéma –</w:t>
      </w:r>
      <w:r w:rsidR="000860B6">
        <w:rPr>
          <w:i/>
        </w:rPr>
        <w:t xml:space="preserve"> </w:t>
      </w:r>
      <w:r w:rsidR="003054CF">
        <w:rPr>
          <w:i/>
        </w:rPr>
        <w:t>Poptávkově-nabídkový analytický model determinant péče pro lidi s demencí</w:t>
      </w:r>
      <w:r w:rsidR="000860B6">
        <w:rPr>
          <w:i/>
        </w:rPr>
        <w:t xml:space="preserve">  </w:t>
      </w:r>
    </w:p>
    <w:p w14:paraId="357B4178" w14:textId="3C09FE8D" w:rsidR="00376294" w:rsidRPr="00376294" w:rsidRDefault="00376294" w:rsidP="00376294">
      <w:r>
        <w:rPr>
          <w:noProof/>
          <w:lang w:val="en-US"/>
        </w:rPr>
        <w:drawing>
          <wp:inline distT="0" distB="0" distL="0" distR="0" wp14:anchorId="3465AD4D" wp14:editId="43C6AA02">
            <wp:extent cx="5270500" cy="2628265"/>
            <wp:effectExtent l="0" t="0" r="12700" b="0"/>
            <wp:docPr id="1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t xml:space="preserve">Zdroj: </w:t>
      </w:r>
      <w:r w:rsidRPr="00376294">
        <w:t xml:space="preserve"> </w:t>
      </w:r>
      <w:proofErr w:type="spellStart"/>
      <w:r>
        <w:t>Valtonen</w:t>
      </w:r>
      <w:proofErr w:type="spellEnd"/>
      <w:r>
        <w:t xml:space="preserve">, H.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in Alzheimer </w:t>
      </w:r>
      <w:proofErr w:type="spellStart"/>
      <w:r>
        <w:t>Europe</w:t>
      </w:r>
      <w:proofErr w:type="spellEnd"/>
      <w:r>
        <w:t xml:space="preserve">: </w:t>
      </w:r>
      <w:proofErr w:type="spellStart"/>
      <w:r>
        <w:t>Dementia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Yearbook</w:t>
      </w:r>
      <w:proofErr w:type="spellEnd"/>
      <w:r>
        <w:t xml:space="preserve"> 2008 (upraveno)</w:t>
      </w:r>
    </w:p>
    <w:p w14:paraId="7CC0F8F5" w14:textId="6B66DEDB" w:rsidR="007336F1" w:rsidRDefault="007336F1" w:rsidP="007336F1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t>Co víme o demenci? Vymezení pojmů</w:t>
      </w:r>
      <w:r w:rsidR="00376294">
        <w:rPr>
          <w:sz w:val="40"/>
          <w:szCs w:val="40"/>
        </w:rPr>
        <w:t>...</w:t>
      </w:r>
    </w:p>
    <w:p w14:paraId="71B90D23" w14:textId="6FF4A91B" w:rsidR="00376294" w:rsidRDefault="00EF2CE1" w:rsidP="00376294">
      <w:pPr>
        <w:rPr>
          <w:b/>
        </w:rPr>
      </w:pPr>
      <w:r>
        <w:rPr>
          <w:b/>
        </w:rPr>
        <w:t xml:space="preserve">Co je demence? </w:t>
      </w:r>
      <w:r w:rsidR="003054CF">
        <w:rPr>
          <w:b/>
        </w:rPr>
        <w:t xml:space="preserve">Jaké jsou </w:t>
      </w:r>
      <w:r>
        <w:rPr>
          <w:b/>
        </w:rPr>
        <w:t>její příznaky</w:t>
      </w:r>
      <w:r w:rsidR="003054CF">
        <w:rPr>
          <w:b/>
        </w:rPr>
        <w:t xml:space="preserve">? Co je nejčastější příčinou </w:t>
      </w:r>
      <w:r>
        <w:rPr>
          <w:b/>
        </w:rPr>
        <w:t xml:space="preserve">tohoto </w:t>
      </w:r>
      <w:r w:rsidR="003054CF">
        <w:rPr>
          <w:b/>
        </w:rPr>
        <w:t>onemocnění? Jak se demence projevuje</w:t>
      </w:r>
      <w:r w:rsidR="00376294" w:rsidRPr="006B2716">
        <w:rPr>
          <w:b/>
        </w:rPr>
        <w:t>?</w:t>
      </w:r>
      <w:r w:rsidR="00795C61">
        <w:rPr>
          <w:b/>
        </w:rPr>
        <w:t xml:space="preserve"> Existuje pouze jeden typ demence?</w:t>
      </w:r>
      <w:r w:rsidR="00612B2B">
        <w:rPr>
          <w:b/>
        </w:rPr>
        <w:t xml:space="preserve"> Je možné demenci spolehlivě diagnostikovat? Je ji možné léčit a vyléčit?</w:t>
      </w:r>
    </w:p>
    <w:p w14:paraId="63005436" w14:textId="44299753" w:rsidR="000254E5" w:rsidRDefault="008A3A93" w:rsidP="003762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2ABE2" wp14:editId="61D1AEBE">
                <wp:simplePos x="0" y="0"/>
                <wp:positionH relativeFrom="column">
                  <wp:posOffset>3352800</wp:posOffset>
                </wp:positionH>
                <wp:positionV relativeFrom="paragraph">
                  <wp:posOffset>7620</wp:posOffset>
                </wp:positionV>
                <wp:extent cx="2070100" cy="1668780"/>
                <wp:effectExtent l="0" t="0" r="0" b="76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F79F07" w14:textId="6A7E95BC" w:rsidR="00D45003" w:rsidRPr="005B47DC" w:rsidRDefault="00D45003" w:rsidP="008A3A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8A3A93">
                              <w:rPr>
                                <w:b/>
                              </w:rPr>
                              <w:t>Alzheimerovu nemoc</w:t>
                            </w:r>
                            <w:r>
                              <w:t>, která je nejčastější příčinou demence,</w:t>
                            </w:r>
                            <w:r w:rsidRPr="00795C61">
                              <w:t xml:space="preserve"> poprvé popsal německý lékař</w:t>
                            </w:r>
                            <w:r>
                              <w:t xml:space="preserve"> Alois Alzheimer v roce 1907 (a Oskar Fischer v Praze). V </w:t>
                            </w:r>
                            <w:r w:rsidRPr="00795C61">
                              <w:t xml:space="preserve">té době se </w:t>
                            </w:r>
                            <w:r>
                              <w:t xml:space="preserve">na rozdíl od současnosti </w:t>
                            </w:r>
                            <w:r w:rsidRPr="00795C61">
                              <w:t>považovala za nemoc v</w:t>
                            </w:r>
                            <w:r>
                              <w:t>elmi vzácnou.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264pt;margin-top:.6pt;width:163pt;height:1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" filled="f" stroked="f">
                <v:textbox>
                  <w:txbxContent>
                    <w:p w14:paraId="12F79F07" w14:textId="6A7E95BC" w:rsidR="00D45003" w:rsidRPr="005B47DC" w:rsidRDefault="00D45003" w:rsidP="008A3A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 w:rsidRPr="008A3A93">
                        <w:rPr>
                          <w:b/>
                        </w:rPr>
                        <w:t>Alzheimerovu nemoc</w:t>
                      </w:r>
                      <w:r>
                        <w:t>, která je nejčastější příčinou demence,</w:t>
                      </w:r>
                      <w:r w:rsidRPr="00795C61">
                        <w:t xml:space="preserve"> poprvé popsal německý lékař</w:t>
                      </w:r>
                      <w:r>
                        <w:t xml:space="preserve"> Alois Alzheimer v roce 1907 (a Oskar Fischer v Praze). V </w:t>
                      </w:r>
                      <w:r w:rsidRPr="00795C61">
                        <w:t xml:space="preserve">té době se </w:t>
                      </w:r>
                      <w:r>
                        <w:t xml:space="preserve">na rozdíl od současnosti </w:t>
                      </w:r>
                      <w:r w:rsidRPr="00795C61">
                        <w:t>považovala za nemoc v</w:t>
                      </w:r>
                      <w:r>
                        <w:t>elmi vzácnou.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B2B" w:rsidRPr="00795C61">
        <w:t>Demence je vážn</w:t>
      </w:r>
      <w:r w:rsidR="00727171" w:rsidRPr="00795C61">
        <w:t xml:space="preserve">ým </w:t>
      </w:r>
      <w:r w:rsidR="00612B2B" w:rsidRPr="00795C61">
        <w:t>duševní</w:t>
      </w:r>
      <w:r w:rsidR="00727171" w:rsidRPr="00795C61">
        <w:t>m</w:t>
      </w:r>
      <w:r w:rsidR="00612B2B" w:rsidRPr="00795C61">
        <w:t xml:space="preserve"> </w:t>
      </w:r>
      <w:r w:rsidR="003D70FB" w:rsidRPr="00795C61">
        <w:t>onemocněním</w:t>
      </w:r>
      <w:r w:rsidR="005A1CD3">
        <w:t>,</w:t>
      </w:r>
      <w:r w:rsidR="000F29D8">
        <w:t xml:space="preserve"> které lze podle Mezinárodní klasifikace nemocí</w:t>
      </w:r>
      <w:r w:rsidR="0084272D">
        <w:rPr>
          <w:rStyle w:val="FootnoteReference"/>
        </w:rPr>
        <w:footnoteReference w:id="2"/>
      </w:r>
      <w:r w:rsidR="000F29D8">
        <w:t xml:space="preserve"> charakterizovat jako </w:t>
      </w:r>
      <w:r w:rsidR="000F29D8" w:rsidRPr="000254E5">
        <w:rPr>
          <w:i/>
        </w:rPr>
        <w:t xml:space="preserve">„syndrom způsobený chorobou mozku, obvykle chronické nebo progresivní povahy, kde dochází k porušení mnoha vyšších nervových </w:t>
      </w:r>
      <w:proofErr w:type="spellStart"/>
      <w:r w:rsidR="000F29D8" w:rsidRPr="000254E5">
        <w:rPr>
          <w:i/>
        </w:rPr>
        <w:t>kortálních</w:t>
      </w:r>
      <w:proofErr w:type="spellEnd"/>
      <w:r w:rsidR="000F29D8" w:rsidRPr="000254E5">
        <w:rPr>
          <w:i/>
        </w:rPr>
        <w:t xml:space="preserve"> funkcí, k nimž patří paměť, myšlení, orientace, chápání, počítání, schopnost učení, jazyk a úsudek, v takové míře, která omezuje soběstačnost a trvá minimálně šest měsíců.“</w:t>
      </w:r>
      <w:r w:rsidR="000F29D8">
        <w:t xml:space="preserve"> </w:t>
      </w:r>
    </w:p>
    <w:p w14:paraId="65CB41CE" w14:textId="3DB05457" w:rsidR="00CA4A1B" w:rsidRDefault="000F29D8" w:rsidP="00EF2CE1">
      <w:r w:rsidRPr="00816807">
        <w:rPr>
          <w:b/>
        </w:rPr>
        <w:t xml:space="preserve">Demence je, co se </w:t>
      </w:r>
      <w:proofErr w:type="spellStart"/>
      <w:r w:rsidRPr="00816807">
        <w:rPr>
          <w:b/>
        </w:rPr>
        <w:t>týče</w:t>
      </w:r>
      <w:proofErr w:type="spellEnd"/>
      <w:r w:rsidRPr="00816807">
        <w:rPr>
          <w:b/>
        </w:rPr>
        <w:t xml:space="preserve"> </w:t>
      </w:r>
      <w:r w:rsidR="005A1CD3">
        <w:rPr>
          <w:b/>
        </w:rPr>
        <w:t>svého</w:t>
      </w:r>
      <w:r w:rsidR="00CA4A1B" w:rsidRPr="00816807">
        <w:rPr>
          <w:b/>
        </w:rPr>
        <w:t xml:space="preserve"> vzniku, velmi široký pojem</w:t>
      </w:r>
      <w:r w:rsidRPr="00816807">
        <w:rPr>
          <w:b/>
        </w:rPr>
        <w:t>.</w:t>
      </w:r>
      <w:r w:rsidR="008A3A93" w:rsidRPr="00816807">
        <w:rPr>
          <w:b/>
        </w:rPr>
        <w:t xml:space="preserve"> </w:t>
      </w:r>
      <w:proofErr w:type="spellStart"/>
      <w:r w:rsidR="00CA4A1B" w:rsidRPr="00816807">
        <w:rPr>
          <w:b/>
        </w:rPr>
        <w:t>Nejčastější</w:t>
      </w:r>
      <w:proofErr w:type="spellEnd"/>
      <w:r w:rsidR="00CA4A1B" w:rsidRPr="00816807">
        <w:rPr>
          <w:b/>
        </w:rPr>
        <w:t xml:space="preserve"> formou demence je Alzheimerova choroba.</w:t>
      </w:r>
      <w:r w:rsidR="00CA4A1B" w:rsidRPr="00EF2CE1">
        <w:t xml:space="preserve"> </w:t>
      </w:r>
      <w:r w:rsidR="000254E5">
        <w:t xml:space="preserve">Tato choroba </w:t>
      </w:r>
      <w:r w:rsidR="000254E5" w:rsidRPr="0084272D">
        <w:t xml:space="preserve">je primárním degenerativním onemocněním mozku neznámé etiologie s charakteristickými neuropatologickými a </w:t>
      </w:r>
      <w:proofErr w:type="spellStart"/>
      <w:r w:rsidR="000254E5" w:rsidRPr="0084272D">
        <w:t>neurochemickýmí</w:t>
      </w:r>
      <w:proofErr w:type="spellEnd"/>
      <w:r w:rsidR="000254E5" w:rsidRPr="0084272D">
        <w:t xml:space="preserve"> vlastnostmi. </w:t>
      </w:r>
      <w:r w:rsidR="00CA4A1B" w:rsidRPr="00EF2CE1">
        <w:t xml:space="preserve">Mezi další významné typy demence </w:t>
      </w:r>
      <w:proofErr w:type="spellStart"/>
      <w:r w:rsidR="00CA4A1B" w:rsidRPr="00EF2CE1">
        <w:t>patří</w:t>
      </w:r>
      <w:proofErr w:type="spellEnd"/>
      <w:r w:rsidR="00CA4A1B" w:rsidRPr="00EF2CE1">
        <w:t xml:space="preserve"> vaskulární demence, </w:t>
      </w:r>
      <w:r w:rsidR="0084272D" w:rsidRPr="0084272D">
        <w:t xml:space="preserve">která je následkem mozkových infarktů‚ způsobených cévní chorobou včetně hypertenzní cerebrovaskulární choroby. </w:t>
      </w:r>
      <w:r w:rsidR="000254E5">
        <w:t>Dal</w:t>
      </w:r>
      <w:r w:rsidR="0084272D">
        <w:t xml:space="preserve">ším typem je </w:t>
      </w:r>
      <w:r w:rsidR="00CA4A1B" w:rsidRPr="00EF2CE1">
        <w:t>demence s</w:t>
      </w:r>
      <w:r w:rsidR="00EF2CE1" w:rsidRPr="00EF2CE1">
        <w:t xml:space="preserve"> </w:t>
      </w:r>
      <w:proofErr w:type="spellStart"/>
      <w:r w:rsidR="00CA4A1B" w:rsidRPr="00EF2CE1">
        <w:t>Lewyho</w:t>
      </w:r>
      <w:proofErr w:type="spellEnd"/>
      <w:r w:rsidR="005A1CD3">
        <w:t xml:space="preserve"> </w:t>
      </w:r>
      <w:proofErr w:type="spellStart"/>
      <w:r w:rsidR="005A1CD3">
        <w:t>tělísky</w:t>
      </w:r>
      <w:proofErr w:type="spellEnd"/>
      <w:r w:rsidR="005A1CD3">
        <w:t xml:space="preserve"> a skupina </w:t>
      </w:r>
      <w:proofErr w:type="spellStart"/>
      <w:r w:rsidR="005A1CD3">
        <w:t>onemocnění</w:t>
      </w:r>
      <w:proofErr w:type="spellEnd"/>
      <w:r w:rsidR="00CA4A1B" w:rsidRPr="00EF2CE1">
        <w:t xml:space="preserve"> </w:t>
      </w:r>
      <w:proofErr w:type="spellStart"/>
      <w:r w:rsidR="00CA4A1B" w:rsidRPr="00EF2CE1">
        <w:t>přispívajících</w:t>
      </w:r>
      <w:proofErr w:type="spellEnd"/>
      <w:r w:rsidR="00CA4A1B" w:rsidRPr="00EF2CE1">
        <w:t xml:space="preserve"> k</w:t>
      </w:r>
      <w:r w:rsidR="00EF2CE1" w:rsidRPr="00EF2CE1">
        <w:t xml:space="preserve"> </w:t>
      </w:r>
      <w:proofErr w:type="spellStart"/>
      <w:r w:rsidR="00CA4A1B" w:rsidRPr="00EF2CE1">
        <w:t>frontotemporální</w:t>
      </w:r>
      <w:proofErr w:type="spellEnd"/>
      <w:r w:rsidR="00CA4A1B" w:rsidRPr="00EF2CE1">
        <w:t xml:space="preserve"> demenci</w:t>
      </w:r>
      <w:r w:rsidR="00EF2CE1" w:rsidRPr="00EF2CE1">
        <w:t>.</w:t>
      </w:r>
      <w:r w:rsidR="00CA4A1B" w:rsidRPr="00EF2CE1">
        <w:t xml:space="preserve"> Hranice mezi jednotlivými podtypy </w:t>
      </w:r>
      <w:proofErr w:type="spellStart"/>
      <w:r w:rsidR="00CA4A1B" w:rsidRPr="00EF2CE1">
        <w:t>přitom</w:t>
      </w:r>
      <w:proofErr w:type="spellEnd"/>
      <w:r w:rsidR="00CA4A1B" w:rsidRPr="00EF2CE1">
        <w:t xml:space="preserve"> bývají nejasné, </w:t>
      </w:r>
      <w:proofErr w:type="spellStart"/>
      <w:r w:rsidR="00CA4A1B" w:rsidRPr="00EF2CE1">
        <w:t>často</w:t>
      </w:r>
      <w:proofErr w:type="spellEnd"/>
      <w:r w:rsidR="00CA4A1B" w:rsidRPr="00EF2CE1">
        <w:t xml:space="preserve"> se vyskytují také smíšené formy demence. </w:t>
      </w:r>
      <w:r w:rsidR="0084272D">
        <w:rPr>
          <w:rStyle w:val="FootnoteReference"/>
        </w:rPr>
        <w:footnoteReference w:id="3"/>
      </w:r>
    </w:p>
    <w:p w14:paraId="5ED3164B" w14:textId="66D7139E" w:rsidR="00447A18" w:rsidRPr="00447A18" w:rsidRDefault="00447A18" w:rsidP="00EF2CE1">
      <w:pPr>
        <w:rPr>
          <w:i/>
        </w:rPr>
      </w:pPr>
      <w:r w:rsidRPr="00997F13">
        <w:rPr>
          <w:i/>
        </w:rPr>
        <w:t xml:space="preserve">Graf – </w:t>
      </w:r>
      <w:r>
        <w:rPr>
          <w:i/>
        </w:rPr>
        <w:t>Typy a příčiny demence</w:t>
      </w:r>
    </w:p>
    <w:p w14:paraId="141A3B16" w14:textId="4C9083E3" w:rsidR="00EF2CE1" w:rsidRDefault="00EF2CE1" w:rsidP="00EF2CE1">
      <w:r w:rsidRPr="00447A18">
        <w:rPr>
          <w:noProof/>
          <w:lang w:val="en-US"/>
        </w:rPr>
        <w:drawing>
          <wp:inline distT="0" distB="0" distL="0" distR="0" wp14:anchorId="5F207288" wp14:editId="5AD8F133">
            <wp:extent cx="5252720" cy="2432158"/>
            <wp:effectExtent l="0" t="0" r="30480" b="317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18847D" w14:textId="58F831B8" w:rsidR="00447A18" w:rsidRPr="00EF2CE1" w:rsidRDefault="00447A18" w:rsidP="00447A18">
      <w:r>
        <w:t xml:space="preserve">Zdroj: Vláda ČR (2010). </w:t>
      </w:r>
      <w:r w:rsidRPr="00447A18">
        <w:t>Informace o problematice Alzheimerovy choroby</w:t>
      </w:r>
      <w:r>
        <w:t xml:space="preserve"> </w:t>
      </w:r>
      <w:r w:rsidRPr="00447A18">
        <w:t>a možnostech jejího řešení v České republice</w:t>
      </w:r>
      <w:r>
        <w:t>. Neveřejný materiál 971/10.</w:t>
      </w:r>
    </w:p>
    <w:p w14:paraId="5798BA7C" w14:textId="763F3109" w:rsidR="00376294" w:rsidRDefault="00795C61" w:rsidP="0084272D">
      <w:r>
        <w:t>Demence</w:t>
      </w:r>
      <w:r w:rsidR="00612B2B" w:rsidRPr="00795C61">
        <w:t xml:space="preserve"> začíná </w:t>
      </w:r>
      <w:r>
        <w:t xml:space="preserve">zpravidla </w:t>
      </w:r>
      <w:r w:rsidR="00612B2B" w:rsidRPr="00795C61">
        <w:t xml:space="preserve">pozvolna. Nejdříve se u nemocného zhoršuje krátkodobá paměť a není schopen se postarat o některé věci v domácnosti. Rychlost, kterou </w:t>
      </w:r>
      <w:r>
        <w:t>nemoc</w:t>
      </w:r>
      <w:r w:rsidR="00612B2B" w:rsidRPr="00795C61">
        <w:t xml:space="preserve"> postupuje, se u každého postiženého liší. Nemocný má však čím dál větší problémy s vyjadřováním, rozhodováním, nedokončuje myšlenky, je zmatenější. Mění se celá jeho osobnost. V posledních stádiích nemoci už vůbec není schopen se sám o sebe postarat.</w:t>
      </w:r>
      <w:r w:rsidR="000254E5">
        <w:t xml:space="preserve"> </w:t>
      </w:r>
    </w:p>
    <w:p w14:paraId="3AD5DB71" w14:textId="0EEF9E3C" w:rsidR="00795C61" w:rsidRDefault="0084272D" w:rsidP="00795C61">
      <w:pPr>
        <w:rPr>
          <w:i/>
        </w:rPr>
      </w:pPr>
      <w:r>
        <w:rPr>
          <w:i/>
        </w:rPr>
        <w:t>Schéma</w:t>
      </w:r>
      <w:r w:rsidRPr="00997F13">
        <w:rPr>
          <w:i/>
        </w:rPr>
        <w:t xml:space="preserve"> – </w:t>
      </w:r>
      <w:r>
        <w:rPr>
          <w:i/>
        </w:rPr>
        <w:t>Příznaky demence</w:t>
      </w:r>
    </w:p>
    <w:p w14:paraId="19962A9B" w14:textId="1A0C38A1" w:rsidR="0084272D" w:rsidRPr="0084272D" w:rsidRDefault="0084272D" w:rsidP="00795C61">
      <w:pPr>
        <w:rPr>
          <w:i/>
        </w:rPr>
      </w:pPr>
      <w:r>
        <w:rPr>
          <w:i/>
          <w:noProof/>
          <w:lang w:val="en-US"/>
        </w:rPr>
        <w:drawing>
          <wp:inline distT="0" distB="0" distL="0" distR="0" wp14:anchorId="61E53448" wp14:editId="30A0668C">
            <wp:extent cx="5270500" cy="3074670"/>
            <wp:effectExtent l="50800" t="0" r="12700" b="7493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FA21D9A" w14:textId="77777777" w:rsidR="007E513A" w:rsidRDefault="00795C61" w:rsidP="007E513A">
      <w:pPr>
        <w:rPr>
          <w:sz w:val="40"/>
          <w:szCs w:val="40"/>
        </w:rPr>
      </w:pPr>
      <w:r>
        <w:t>Ne každý postižený člověk vyhledá pomoc, ne každý je správně diagnostikován.</w:t>
      </w:r>
      <w:r w:rsidR="00DC2DDD">
        <w:t xml:space="preserve"> </w:t>
      </w:r>
      <w:r w:rsidR="00B14829" w:rsidRPr="00816807">
        <w:rPr>
          <w:b/>
        </w:rPr>
        <w:t>Onemocnění nelze vyléčit, ale jeho p</w:t>
      </w:r>
      <w:r w:rsidR="00DC2DDD" w:rsidRPr="00816807">
        <w:rPr>
          <w:b/>
        </w:rPr>
        <w:t xml:space="preserve">růběh lze </w:t>
      </w:r>
      <w:r w:rsidR="00B14829" w:rsidRPr="00816807">
        <w:rPr>
          <w:b/>
        </w:rPr>
        <w:t xml:space="preserve">oddálit </w:t>
      </w:r>
      <w:r w:rsidR="00DC2DDD" w:rsidRPr="00816807">
        <w:rPr>
          <w:b/>
        </w:rPr>
        <w:t>včasným nasazením léčby</w:t>
      </w:r>
      <w:r w:rsidR="00DC2DDD" w:rsidRPr="00015758">
        <w:t>. Proto je důležitá včasná diagnostika onemocnění a nepodceňování příznaků, které se na první pohled mohou jevit jako banální.</w:t>
      </w:r>
    </w:p>
    <w:p w14:paraId="27B5C900" w14:textId="19568699" w:rsidR="007336F1" w:rsidRPr="007E513A" w:rsidRDefault="007336F1" w:rsidP="007E513A">
      <w:pPr>
        <w:pStyle w:val="Heading1"/>
        <w:spacing w:before="0"/>
        <w:rPr>
          <w:sz w:val="40"/>
          <w:szCs w:val="40"/>
        </w:rPr>
      </w:pPr>
      <w:r w:rsidRPr="00E0511D">
        <w:rPr>
          <w:sz w:val="40"/>
          <w:szCs w:val="40"/>
        </w:rPr>
        <w:t xml:space="preserve">Kdo a kde trpí demencí? </w:t>
      </w:r>
      <w:r>
        <w:rPr>
          <w:sz w:val="40"/>
          <w:szCs w:val="40"/>
        </w:rPr>
        <w:t>Co víme o potřebě</w:t>
      </w:r>
      <w:r w:rsidRPr="00E0511D">
        <w:rPr>
          <w:sz w:val="40"/>
          <w:szCs w:val="40"/>
        </w:rPr>
        <w:t>...</w:t>
      </w:r>
      <w:r w:rsidRPr="007E513A">
        <w:rPr>
          <w:sz w:val="40"/>
          <w:szCs w:val="40"/>
        </w:rPr>
        <w:t xml:space="preserve"> </w:t>
      </w:r>
    </w:p>
    <w:p w14:paraId="03ECD5ED" w14:textId="77777777" w:rsidR="007336F1" w:rsidRPr="006B2716" w:rsidRDefault="007336F1" w:rsidP="007336F1">
      <w:pPr>
        <w:rPr>
          <w:b/>
        </w:rPr>
      </w:pPr>
      <w:r w:rsidRPr="006B2716">
        <w:rPr>
          <w:b/>
        </w:rPr>
        <w:t>Kolik lidí trpí demencí? Jak jsme na tom ve srovnání s okolními státy a celým světem? V jakém kraji je tato nemoc nejrozšířenější? Jaké věkové skupiny postihuje nejčastěji? Klesá, nemění se nebo narůstá počet Čechů trpících Alzheimerovou chorobou? A jak na tom budeme za deset, dvacet či třicet let?</w:t>
      </w:r>
    </w:p>
    <w:p w14:paraId="2FD79F2B" w14:textId="77777777" w:rsidR="007336F1" w:rsidRDefault="007336F1" w:rsidP="007336F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D2479" wp14:editId="5EBD1B7C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2070100" cy="2026920"/>
                <wp:effectExtent l="0" t="0" r="0" b="50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88DDE8" w14:textId="1764B084" w:rsidR="00D45003" w:rsidRPr="005B47DC" w:rsidRDefault="00D45003" w:rsidP="007336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Prevalence</w:t>
                            </w:r>
                            <w:r>
                              <w:t xml:space="preserve">, jeden ze základních ukazatelů v </w:t>
                            </w:r>
                            <w:r w:rsidRPr="00510355">
                              <w:t>epidemiologii</w:t>
                            </w:r>
                            <w:r>
                              <w:t xml:space="preserve">, je podíl počtu jedinců trpících danou nemocí a počtu všech jedinců ve sledované </w:t>
                            </w:r>
                            <w:r w:rsidRPr="00510355">
                              <w:t>populaci</w:t>
                            </w:r>
                            <w:r>
                              <w:t>. Je vztažena k určitému časovému okamžiku (momentu) a obvykle se vyjadřuje v procentech.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52pt;margin-top:4pt;width:163pt;height:1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" filled="f" stroked="f">
                <v:textbox>
                  <w:txbxContent>
                    <w:p w14:paraId="1288DDE8" w14:textId="1764B084" w:rsidR="00D45003" w:rsidRPr="005B47DC" w:rsidRDefault="00D45003" w:rsidP="007336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Prevalence</w:t>
                      </w:r>
                      <w:r>
                        <w:t xml:space="preserve">, jeden ze základních ukazatelů v </w:t>
                      </w:r>
                      <w:r w:rsidRPr="00510355">
                        <w:t>epidemiologii</w:t>
                      </w:r>
                      <w:r>
                        <w:t xml:space="preserve">, je podíl počtu jedinců trpících danou nemocí a počtu všech jedinců ve sledované </w:t>
                      </w:r>
                      <w:r w:rsidRPr="00510355">
                        <w:t>populaci</w:t>
                      </w:r>
                      <w:r>
                        <w:t>. Je vztažena k určitému časovému okamžiku (momentu) a obvykle se vyjadřuje v procentech.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073D">
        <w:t xml:space="preserve">Odpověď na otázku, kolik lidí trpí v České republice Alzheimerovou chorobou či jinými typy demence, rozhodně není jednoduchá. V tuzemských podmínkách totiž dosud neexistuje relevantní studie, která by otázku prevalence či incidence Alzheimerovy choroby validně mapovala. Je </w:t>
      </w:r>
      <w:r>
        <w:t xml:space="preserve">se tak </w:t>
      </w:r>
      <w:r w:rsidRPr="006C073D">
        <w:t>třeba spokojit s kvalifikovanými odhady, které vycházejí z evropských a světových výzkumných prací</w:t>
      </w:r>
      <w:r>
        <w:t xml:space="preserve"> a studií</w:t>
      </w:r>
      <w:r w:rsidRPr="006C073D">
        <w:t>.</w:t>
      </w:r>
      <w:r>
        <w:rPr>
          <w:rStyle w:val="FootnoteReference"/>
        </w:rPr>
        <w:footnoteReference w:id="4"/>
      </w:r>
      <w:r>
        <w:t xml:space="preserve"> Na základě těchto studií </w:t>
      </w:r>
      <w:r w:rsidRPr="00816807">
        <w:rPr>
          <w:b/>
        </w:rPr>
        <w:t>je možné odhadnou počet lidí trpících demencí v ČR na 143 tisíc.</w:t>
      </w:r>
    </w:p>
    <w:p w14:paraId="7E0205B1" w14:textId="77777777" w:rsidR="007336F1" w:rsidRDefault="007336F1" w:rsidP="007336F1">
      <w:pPr>
        <w:pStyle w:val="Heading2"/>
      </w:pPr>
      <w:r>
        <w:rPr>
          <w:sz w:val="32"/>
          <w:szCs w:val="32"/>
        </w:rPr>
        <w:t xml:space="preserve">Evropané trpí demencí více než Češi </w:t>
      </w:r>
      <w:r>
        <w:br/>
        <w:t>Mezinárodní srovnání výskytu demence</w:t>
      </w:r>
    </w:p>
    <w:p w14:paraId="2EA145AC" w14:textId="77777777" w:rsidR="007336F1" w:rsidRPr="005F40F2" w:rsidRDefault="007336F1" w:rsidP="007336F1">
      <w:r>
        <w:t xml:space="preserve">Dostupná srovnání mezinárodních institucí ukazují, že v regionu Střední Evropa, kam patří Česká republika  je zastoupení lidí s demencí přibližně stejné jako v průměru jinde na světě. Vyspělejší státy Západní Evropy však mají zastoupení této nemoci relativně vyšší a s ekonomickým a společenským rozvojem tak </w:t>
      </w:r>
      <w:r w:rsidRPr="006832D4">
        <w:rPr>
          <w:b/>
        </w:rPr>
        <w:t>lze očekávat, že onemocnění demencí bude u nás dále narůstat.</w:t>
      </w:r>
    </w:p>
    <w:p w14:paraId="7BFAA063" w14:textId="77777777" w:rsidR="007336F1" w:rsidRPr="00997F13" w:rsidRDefault="007336F1" w:rsidP="007336F1">
      <w:pPr>
        <w:rPr>
          <w:i/>
        </w:rPr>
      </w:pPr>
      <w:r w:rsidRPr="00997F13">
        <w:rPr>
          <w:i/>
        </w:rPr>
        <w:t>Graf – Mezinárodní srovnání prevalence demence pro osoby starší 60 let ve světových regionech v roce 2010</w:t>
      </w:r>
    </w:p>
    <w:p w14:paraId="58E7EC0D" w14:textId="77777777" w:rsidR="007336F1" w:rsidRDefault="007336F1" w:rsidP="007336F1">
      <w:r>
        <w:rPr>
          <w:noProof/>
          <w:lang w:val="en-US"/>
        </w:rPr>
        <w:drawing>
          <wp:inline distT="0" distB="0" distL="0" distR="0" wp14:anchorId="17D4429C" wp14:editId="6F3AB721">
            <wp:extent cx="5138420" cy="2198694"/>
            <wp:effectExtent l="0" t="0" r="17780" b="368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45792C0" w14:textId="77777777" w:rsidR="007336F1" w:rsidRDefault="007336F1" w:rsidP="007336F1">
      <w:r>
        <w:t xml:space="preserve">Zdroj dat: WHO a </w:t>
      </w:r>
      <w:proofErr w:type="spellStart"/>
      <w:r>
        <w:t>Alzheimers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International (2012). </w:t>
      </w:r>
      <w:proofErr w:type="spellStart"/>
      <w:r>
        <w:t>Dementia</w:t>
      </w:r>
      <w:proofErr w:type="spellEnd"/>
      <w:r>
        <w:t xml:space="preserve">: a Public </w:t>
      </w:r>
      <w:proofErr w:type="spellStart"/>
      <w:r>
        <w:t>Health</w:t>
      </w:r>
      <w:proofErr w:type="spellEnd"/>
      <w:r>
        <w:t xml:space="preserve"> Priority. </w:t>
      </w:r>
    </w:p>
    <w:p w14:paraId="3EA5BC65" w14:textId="292ABA4D" w:rsidR="007336F1" w:rsidRDefault="007336F1" w:rsidP="007336F1">
      <w:r>
        <w:t>Při podrobnějším pohledu na evropský kontinent a státy, které jsou členy Evropské unie, je možné konstato</w:t>
      </w:r>
      <w:r w:rsidR="00D45003">
        <w:t>vat, že státy, které přistoupily</w:t>
      </w:r>
      <w:r>
        <w:t xml:space="preserve"> do Evropské unie společně s námi v roce 2004, vykazují nižší prevalenci demence než je průměr Evropské unie. Ten se pohybuje na úrovni 1,55 %. </w:t>
      </w:r>
      <w:r w:rsidRPr="006832D4">
        <w:rPr>
          <w:b/>
        </w:rPr>
        <w:t>Česká republika je s 1,36 % přitom mírně pod unijním průměrem</w:t>
      </w:r>
      <w:r>
        <w:t>. Jak je patrné z následujícího grafu, rozdíly v EU jsou přitom poměrně velké, nejvíce zatížená Itálie má dvojnásobnou prevalenci demence než Kypr. Pokud by u nás byla prevalence demencí stejná jako v Itálii, nežilo by zde 143 tisíc lidí trpících demencí, ale téměř 220 tisíc. Pokud bychom na tom byli jako průměr EU bylo by to 163 tisíc.</w:t>
      </w:r>
    </w:p>
    <w:p w14:paraId="77395710" w14:textId="77777777" w:rsidR="007336F1" w:rsidRPr="00997F13" w:rsidRDefault="007336F1" w:rsidP="007336F1">
      <w:pPr>
        <w:rPr>
          <w:i/>
        </w:rPr>
      </w:pPr>
      <w:r w:rsidRPr="00997F13">
        <w:rPr>
          <w:i/>
        </w:rPr>
        <w:t>Graf – Evropské srovnání prevalence demence ve státech EU v roce 2013</w:t>
      </w:r>
    </w:p>
    <w:p w14:paraId="6DCE01FD" w14:textId="77777777" w:rsidR="007336F1" w:rsidRDefault="007336F1" w:rsidP="007336F1">
      <w:r>
        <w:rPr>
          <w:noProof/>
          <w:lang w:val="en-US"/>
        </w:rPr>
        <w:drawing>
          <wp:inline distT="0" distB="0" distL="0" distR="0" wp14:anchorId="7BDACA36" wp14:editId="138C85D0">
            <wp:extent cx="5024120" cy="6169768"/>
            <wp:effectExtent l="0" t="0" r="30480" b="279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32F2672" w14:textId="77777777" w:rsidR="007336F1" w:rsidRDefault="007336F1" w:rsidP="007336F1">
      <w:r>
        <w:t xml:space="preserve">Zdroj dat: </w:t>
      </w:r>
      <w:r w:rsidRPr="00583E92">
        <w:t xml:space="preserve">Alzheimer </w:t>
      </w:r>
      <w:proofErr w:type="spellStart"/>
      <w:r w:rsidRPr="00583E92">
        <w:t>Europe</w:t>
      </w:r>
      <w:proofErr w:type="spellEnd"/>
      <w:r w:rsidRPr="00583E92">
        <w:t xml:space="preserve">. 2013. </w:t>
      </w:r>
      <w:proofErr w:type="spellStart"/>
      <w:r w:rsidRPr="00583E92">
        <w:t>Dementia</w:t>
      </w:r>
      <w:proofErr w:type="spellEnd"/>
      <w:r w:rsidRPr="00583E92">
        <w:t xml:space="preserve"> in </w:t>
      </w:r>
      <w:proofErr w:type="spellStart"/>
      <w:r w:rsidRPr="00583E92">
        <w:t>Europe</w:t>
      </w:r>
      <w:proofErr w:type="spellEnd"/>
      <w:r w:rsidRPr="00583E92">
        <w:t xml:space="preserve"> </w:t>
      </w:r>
      <w:proofErr w:type="spellStart"/>
      <w:r w:rsidRPr="00583E92">
        <w:t>Yearbook</w:t>
      </w:r>
      <w:proofErr w:type="spellEnd"/>
      <w:r w:rsidRPr="00583E92">
        <w:t xml:space="preserve"> 2013: </w:t>
      </w:r>
      <w:proofErr w:type="spellStart"/>
      <w:r w:rsidRPr="00583E92">
        <w:t>National</w:t>
      </w:r>
      <w:proofErr w:type="spellEnd"/>
      <w:r w:rsidRPr="00583E92">
        <w:t xml:space="preserve"> </w:t>
      </w:r>
      <w:proofErr w:type="spellStart"/>
      <w:r w:rsidRPr="00583E92">
        <w:t>Policies</w:t>
      </w:r>
      <w:proofErr w:type="spellEnd"/>
      <w:r w:rsidRPr="00583E92">
        <w:t xml:space="preserve"> </w:t>
      </w:r>
      <w:proofErr w:type="spellStart"/>
      <w:r w:rsidRPr="00583E92">
        <w:t>Covering</w:t>
      </w:r>
      <w:proofErr w:type="spellEnd"/>
      <w:r w:rsidRPr="00583E92">
        <w:t xml:space="preserve"> </w:t>
      </w:r>
      <w:proofErr w:type="spellStart"/>
      <w:r w:rsidRPr="00583E92">
        <w:t>the</w:t>
      </w:r>
      <w:proofErr w:type="spellEnd"/>
      <w:r w:rsidRPr="00583E92">
        <w:t xml:space="preserve"> Care and Support </w:t>
      </w:r>
      <w:proofErr w:type="spellStart"/>
      <w:r w:rsidRPr="00583E92">
        <w:t>of</w:t>
      </w:r>
      <w:proofErr w:type="spellEnd"/>
      <w:r w:rsidRPr="00583E92">
        <w:t xml:space="preserve"> </w:t>
      </w:r>
      <w:proofErr w:type="spellStart"/>
      <w:r w:rsidRPr="00583E92">
        <w:t>People</w:t>
      </w:r>
      <w:proofErr w:type="spellEnd"/>
      <w:r w:rsidRPr="00583E92">
        <w:t xml:space="preserve"> </w:t>
      </w:r>
      <w:proofErr w:type="spellStart"/>
      <w:r w:rsidRPr="00583E92">
        <w:t>with</w:t>
      </w:r>
      <w:proofErr w:type="spellEnd"/>
      <w:r w:rsidRPr="00583E92">
        <w:t xml:space="preserve"> </w:t>
      </w:r>
      <w:proofErr w:type="spellStart"/>
      <w:r w:rsidRPr="00583E92">
        <w:t>Dementia</w:t>
      </w:r>
      <w:proofErr w:type="spellEnd"/>
      <w:r w:rsidRPr="00583E92">
        <w:t xml:space="preserve"> and </w:t>
      </w:r>
      <w:proofErr w:type="spellStart"/>
      <w:r w:rsidRPr="00583E92">
        <w:t>their</w:t>
      </w:r>
      <w:proofErr w:type="spellEnd"/>
      <w:r w:rsidRPr="00583E92">
        <w:t xml:space="preserve"> </w:t>
      </w:r>
      <w:proofErr w:type="spellStart"/>
      <w:r w:rsidRPr="00583E92">
        <w:t>Carers</w:t>
      </w:r>
      <w:proofErr w:type="spellEnd"/>
      <w:r>
        <w:br/>
        <w:t>Grafy: Vlastní zpracování.</w:t>
      </w:r>
    </w:p>
    <w:p w14:paraId="12E2ADAC" w14:textId="77777777" w:rsidR="007336F1" w:rsidRDefault="007336F1" w:rsidP="007336F1">
      <w:pPr>
        <w:pStyle w:val="Heading2"/>
      </w:pPr>
      <w:r>
        <w:rPr>
          <w:sz w:val="32"/>
          <w:szCs w:val="32"/>
        </w:rPr>
        <w:t>Ženy a starší lidé</w:t>
      </w:r>
      <w:r w:rsidRPr="006E3322">
        <w:rPr>
          <w:sz w:val="32"/>
          <w:szCs w:val="32"/>
        </w:rPr>
        <w:t xml:space="preserve"> trpí demencí častěji </w:t>
      </w:r>
      <w:r w:rsidRPr="006E3322">
        <w:rPr>
          <w:sz w:val="32"/>
          <w:szCs w:val="32"/>
        </w:rPr>
        <w:br/>
      </w:r>
      <w:r>
        <w:t>Prevalence demence dle věku a pohlaví</w:t>
      </w:r>
    </w:p>
    <w:p w14:paraId="1D2D5330" w14:textId="77777777" w:rsidR="007336F1" w:rsidRDefault="007336F1" w:rsidP="007336F1">
      <w:r w:rsidRPr="00D979B7">
        <w:t>Na základě zahraničních prevalenčních studií je možné odhadnout počet lidí s demencí v České republice na</w:t>
      </w:r>
      <w:r>
        <w:t xml:space="preserve"> 143 tisíc. Z tohoto počtu jsou přitom více než </w:t>
      </w:r>
      <w:r w:rsidRPr="006832D4">
        <w:rPr>
          <w:b/>
        </w:rPr>
        <w:t>dvě třetiny ženského pohlaví.</w:t>
      </w:r>
      <w:r>
        <w:t xml:space="preserve"> Mužů trpících demencí je ve všech věkových skupinách odhadováno 45,5 tisíce, žen pak 97,7 tisíc. </w:t>
      </w:r>
    </w:p>
    <w:p w14:paraId="6EDD18A6" w14:textId="77777777" w:rsidR="007336F1" w:rsidRDefault="007336F1" w:rsidP="007336F1">
      <w:r>
        <w:t xml:space="preserve">Pro srovnání čtvrté největší město Plzeň má 169 tisíc obyvatel a lidí s demencí je tak v České republice více než kolik je obyvatel takových stotisícových měst jako Liberec či Olomouc. Pro představu o zastoupení lidí s demencí dle pohlaví je možné příklad, žen trpících demencí je přibližně stejně tolik, kolik je obyvatel Ústí nad Labem, mužů pak tolik, kolik lidí žije v moravském městě Přerov. </w:t>
      </w:r>
    </w:p>
    <w:p w14:paraId="5BA53377" w14:textId="051ACF7D" w:rsidR="007336F1" w:rsidRDefault="007336F1" w:rsidP="007336F1">
      <w:r w:rsidRPr="006832D4">
        <w:rPr>
          <w:b/>
        </w:rPr>
        <w:t xml:space="preserve">Riziko </w:t>
      </w:r>
      <w:r w:rsidR="00D45003">
        <w:rPr>
          <w:b/>
        </w:rPr>
        <w:t>demence</w:t>
      </w:r>
      <w:r w:rsidRPr="006832D4">
        <w:rPr>
          <w:b/>
        </w:rPr>
        <w:t xml:space="preserve"> narůstá s věkem</w:t>
      </w:r>
      <w:r w:rsidR="00D45003">
        <w:t xml:space="preserve">. </w:t>
      </w:r>
      <w:r>
        <w:t>Zatímco v nižších věkových skupinách se prevalence pohybuje v jednociferných řádech, zlom nastává v důchodovém věku, kdy s každým přibývajícím rokem výskyt nemoci přibývá. V nejstarších věkových skupinách nad 80 let pak prevalence demence dosahuje dvojciferného řádu. Každý 25</w:t>
      </w:r>
      <w:r w:rsidR="00D45003">
        <w:t>.</w:t>
      </w:r>
      <w:r>
        <w:t xml:space="preserve"> trpící demencí, přitom ještě nemá 60 let, naopak každý 8</w:t>
      </w:r>
      <w:r w:rsidR="00D45003">
        <w:t>.</w:t>
      </w:r>
      <w:r>
        <w:t xml:space="preserve"> je starší než 80 let.</w:t>
      </w:r>
    </w:p>
    <w:p w14:paraId="6BB442BB" w14:textId="77777777" w:rsidR="007336F1" w:rsidRPr="00997F13" w:rsidRDefault="007336F1" w:rsidP="008F4FC2">
      <w:pPr>
        <w:keepNext/>
        <w:rPr>
          <w:i/>
        </w:rPr>
      </w:pPr>
      <w:r w:rsidRPr="00997F13">
        <w:rPr>
          <w:i/>
        </w:rPr>
        <w:t xml:space="preserve">Graf – Prevalence demence dle věkových skupin a pohlaví v ČR </w:t>
      </w:r>
      <w:r w:rsidRPr="00997F13">
        <w:rPr>
          <w:i/>
        </w:rPr>
        <w:br/>
        <w:t>(v absolutním a relativním vyjádření)</w:t>
      </w:r>
    </w:p>
    <w:p w14:paraId="4B793950" w14:textId="77777777" w:rsidR="008F4FC2" w:rsidRDefault="007336F1" w:rsidP="007336F1">
      <w:r w:rsidRPr="006E3322">
        <w:rPr>
          <w:noProof/>
          <w:lang w:val="en-US"/>
        </w:rPr>
        <w:drawing>
          <wp:inline distT="0" distB="0" distL="0" distR="0" wp14:anchorId="10F62A59" wp14:editId="4EC34B22">
            <wp:extent cx="5024336" cy="2971800"/>
            <wp:effectExtent l="0" t="0" r="30480" b="25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D70EC5A" w14:textId="04987F05" w:rsidR="007336F1" w:rsidRDefault="007336F1" w:rsidP="007336F1">
      <w:r>
        <w:rPr>
          <w:noProof/>
          <w:lang w:val="en-US"/>
        </w:rPr>
        <w:drawing>
          <wp:inline distT="0" distB="0" distL="0" distR="0" wp14:anchorId="35263709" wp14:editId="161A2C63">
            <wp:extent cx="5024336" cy="2923162"/>
            <wp:effectExtent l="0" t="0" r="30480" b="2349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028329A" w14:textId="77777777" w:rsidR="007336F1" w:rsidRDefault="007336F1" w:rsidP="007336F1">
      <w:r>
        <w:t xml:space="preserve">Zdroj dat: </w:t>
      </w:r>
      <w:r w:rsidRPr="00583E92">
        <w:t xml:space="preserve">Alzheimer </w:t>
      </w:r>
      <w:proofErr w:type="spellStart"/>
      <w:r w:rsidRPr="00583E92">
        <w:t>Europe</w:t>
      </w:r>
      <w:proofErr w:type="spellEnd"/>
      <w:r w:rsidRPr="00583E92">
        <w:t xml:space="preserve">. 2013. </w:t>
      </w:r>
      <w:proofErr w:type="spellStart"/>
      <w:r w:rsidRPr="00583E92">
        <w:t>Dementia</w:t>
      </w:r>
      <w:proofErr w:type="spellEnd"/>
      <w:r w:rsidRPr="00583E92">
        <w:t xml:space="preserve"> in </w:t>
      </w:r>
      <w:proofErr w:type="spellStart"/>
      <w:r w:rsidRPr="00583E92">
        <w:t>Europe</w:t>
      </w:r>
      <w:proofErr w:type="spellEnd"/>
      <w:r w:rsidRPr="00583E92">
        <w:t xml:space="preserve"> </w:t>
      </w:r>
      <w:proofErr w:type="spellStart"/>
      <w:r w:rsidRPr="00583E92">
        <w:t>Yearbook</w:t>
      </w:r>
      <w:proofErr w:type="spellEnd"/>
      <w:r w:rsidRPr="00583E92">
        <w:t xml:space="preserve"> 2013: </w:t>
      </w:r>
      <w:proofErr w:type="spellStart"/>
      <w:r w:rsidRPr="00583E92">
        <w:t>National</w:t>
      </w:r>
      <w:proofErr w:type="spellEnd"/>
      <w:r w:rsidRPr="00583E92">
        <w:t xml:space="preserve"> </w:t>
      </w:r>
      <w:proofErr w:type="spellStart"/>
      <w:r w:rsidRPr="00583E92">
        <w:t>Policies</w:t>
      </w:r>
      <w:proofErr w:type="spellEnd"/>
      <w:r w:rsidRPr="00583E92">
        <w:t xml:space="preserve"> </w:t>
      </w:r>
      <w:proofErr w:type="spellStart"/>
      <w:r w:rsidRPr="00583E92">
        <w:t>Covering</w:t>
      </w:r>
      <w:proofErr w:type="spellEnd"/>
      <w:r w:rsidRPr="00583E92">
        <w:t xml:space="preserve"> </w:t>
      </w:r>
      <w:proofErr w:type="spellStart"/>
      <w:r w:rsidRPr="00583E92">
        <w:t>the</w:t>
      </w:r>
      <w:proofErr w:type="spellEnd"/>
      <w:r w:rsidRPr="00583E92">
        <w:t xml:space="preserve"> Care and Support </w:t>
      </w:r>
      <w:proofErr w:type="spellStart"/>
      <w:r w:rsidRPr="00583E92">
        <w:t>of</w:t>
      </w:r>
      <w:proofErr w:type="spellEnd"/>
      <w:r w:rsidRPr="00583E92">
        <w:t xml:space="preserve"> </w:t>
      </w:r>
      <w:proofErr w:type="spellStart"/>
      <w:r w:rsidRPr="00583E92">
        <w:t>People</w:t>
      </w:r>
      <w:proofErr w:type="spellEnd"/>
      <w:r w:rsidRPr="00583E92">
        <w:t xml:space="preserve"> </w:t>
      </w:r>
      <w:proofErr w:type="spellStart"/>
      <w:r w:rsidRPr="00583E92">
        <w:t>with</w:t>
      </w:r>
      <w:proofErr w:type="spellEnd"/>
      <w:r w:rsidRPr="00583E92">
        <w:t xml:space="preserve"> </w:t>
      </w:r>
      <w:proofErr w:type="spellStart"/>
      <w:r w:rsidRPr="00583E92">
        <w:t>Dementia</w:t>
      </w:r>
      <w:proofErr w:type="spellEnd"/>
      <w:r w:rsidRPr="00583E92">
        <w:t xml:space="preserve"> and </w:t>
      </w:r>
      <w:proofErr w:type="spellStart"/>
      <w:r w:rsidRPr="00583E92">
        <w:t>their</w:t>
      </w:r>
      <w:proofErr w:type="spellEnd"/>
      <w:r w:rsidRPr="00583E92">
        <w:t xml:space="preserve"> </w:t>
      </w:r>
      <w:proofErr w:type="spellStart"/>
      <w:r w:rsidRPr="00583E92">
        <w:t>Carers</w:t>
      </w:r>
      <w:proofErr w:type="spellEnd"/>
      <w:r>
        <w:br/>
        <w:t>Grafy: Vlastní zpracování.</w:t>
      </w:r>
    </w:p>
    <w:p w14:paraId="512A2C2A" w14:textId="3EC0D7A1" w:rsidR="007336F1" w:rsidRDefault="007336F1" w:rsidP="007336F1">
      <w:r>
        <w:t>Zatímco do 65 let věku trpí demencí každý 866</w:t>
      </w:r>
      <w:r w:rsidR="00D45003">
        <w:t>.</w:t>
      </w:r>
      <w:r>
        <w:t>, nad 65 let je to každý 13. V případě nejvyšších věkových kategorií nad 80 let věku pak každý pátý, nad 90 let pak dokonce téměř každý druhý.</w:t>
      </w:r>
    </w:p>
    <w:p w14:paraId="1714BD71" w14:textId="77777777" w:rsidR="007336F1" w:rsidRDefault="007336F1" w:rsidP="007336F1">
      <w:pPr>
        <w:pStyle w:val="Heading2"/>
      </w:pPr>
      <w:r>
        <w:rPr>
          <w:sz w:val="32"/>
          <w:szCs w:val="32"/>
        </w:rPr>
        <w:t>L</w:t>
      </w:r>
      <w:r w:rsidRPr="006E3322">
        <w:rPr>
          <w:sz w:val="32"/>
          <w:szCs w:val="32"/>
        </w:rPr>
        <w:t xml:space="preserve">idí </w:t>
      </w:r>
      <w:r>
        <w:rPr>
          <w:sz w:val="32"/>
          <w:szCs w:val="32"/>
        </w:rPr>
        <w:t>s demencí neustále přibývá</w:t>
      </w:r>
      <w:r w:rsidRPr="006E3322">
        <w:rPr>
          <w:sz w:val="32"/>
          <w:szCs w:val="32"/>
        </w:rPr>
        <w:t xml:space="preserve"> </w:t>
      </w:r>
      <w:r w:rsidRPr="006E3322">
        <w:rPr>
          <w:sz w:val="32"/>
          <w:szCs w:val="32"/>
        </w:rPr>
        <w:br/>
      </w:r>
      <w:r>
        <w:t>Dosavadní a predikovaný vývoj prevalence demence</w:t>
      </w:r>
    </w:p>
    <w:p w14:paraId="11B463E2" w14:textId="77777777" w:rsidR="007336F1" w:rsidRPr="006C073D" w:rsidRDefault="007336F1" w:rsidP="007336F1">
      <w:r>
        <w:t xml:space="preserve">Podíváme-li se na historický vývoj výskytu demence v České republice můžeme konstatovat, že jak v absolutním, tak relativní vyjádření počet lidí trpících demencí neustále narůstá. Nově zpracované prevalenční studie navíc ukazují, že </w:t>
      </w:r>
      <w:r w:rsidRPr="006C073D">
        <w:t xml:space="preserve">počty lidí s demencí </w:t>
      </w:r>
      <w:r>
        <w:t xml:space="preserve">jsou </w:t>
      </w:r>
      <w:r w:rsidRPr="006C073D">
        <w:t xml:space="preserve">vyšší, než se </w:t>
      </w:r>
      <w:r>
        <w:t>dříve</w:t>
      </w:r>
      <w:r w:rsidRPr="006C073D">
        <w:t xml:space="preserve"> předpokládalo.</w:t>
      </w:r>
      <w:r>
        <w:t xml:space="preserve"> Prevalence demence byla pro 60. léta odhadována v poloviční výši, než je tomu v současnosti. </w:t>
      </w:r>
    </w:p>
    <w:p w14:paraId="506881AF" w14:textId="77777777" w:rsidR="007336F1" w:rsidRPr="006F08E2" w:rsidRDefault="007336F1" w:rsidP="007336F1">
      <w:pPr>
        <w:keepNext/>
        <w:rPr>
          <w:i/>
        </w:rPr>
      </w:pPr>
      <w:r w:rsidRPr="006F08E2">
        <w:rPr>
          <w:i/>
        </w:rPr>
        <w:t>Graf – Vývoj prevalence demence a počtu lidí s demencí v ČR</w:t>
      </w:r>
    </w:p>
    <w:p w14:paraId="5443F356" w14:textId="77777777" w:rsidR="007336F1" w:rsidRDefault="007336F1" w:rsidP="007336F1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3DEECD7C" wp14:editId="0D4DDE13">
            <wp:extent cx="5024336" cy="2743200"/>
            <wp:effectExtent l="0" t="0" r="30480" b="254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DDAFF23" w14:textId="77777777" w:rsidR="007336F1" w:rsidRDefault="007336F1" w:rsidP="007336F1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7F4D3213" wp14:editId="4F87056D">
            <wp:extent cx="5024336" cy="2773802"/>
            <wp:effectExtent l="0" t="0" r="30480" b="2032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57AB3D6" w14:textId="77777777" w:rsidR="007336F1" w:rsidRDefault="007336F1" w:rsidP="007336F1">
      <w:r>
        <w:t xml:space="preserve">Zdroj dat: </w:t>
      </w:r>
      <w:r w:rsidRPr="00583E92">
        <w:t xml:space="preserve">Alzheimer </w:t>
      </w:r>
      <w:proofErr w:type="spellStart"/>
      <w:r w:rsidRPr="00583E92">
        <w:t>Europe</w:t>
      </w:r>
      <w:proofErr w:type="spellEnd"/>
      <w:r w:rsidRPr="00583E92">
        <w:t xml:space="preserve">. 2013. </w:t>
      </w:r>
      <w:proofErr w:type="spellStart"/>
      <w:r w:rsidRPr="00583E92">
        <w:t>Dementia</w:t>
      </w:r>
      <w:proofErr w:type="spellEnd"/>
      <w:r w:rsidRPr="00583E92">
        <w:t xml:space="preserve"> in </w:t>
      </w:r>
      <w:proofErr w:type="spellStart"/>
      <w:r w:rsidRPr="00583E92">
        <w:t>Europe</w:t>
      </w:r>
      <w:proofErr w:type="spellEnd"/>
      <w:r w:rsidRPr="00583E92">
        <w:t xml:space="preserve"> </w:t>
      </w:r>
      <w:proofErr w:type="spellStart"/>
      <w:r w:rsidRPr="00583E92">
        <w:t>Yearbook</w:t>
      </w:r>
      <w:proofErr w:type="spellEnd"/>
      <w:r w:rsidRPr="00583E92">
        <w:t xml:space="preserve"> 2013: </w:t>
      </w:r>
      <w:proofErr w:type="spellStart"/>
      <w:r w:rsidRPr="00583E92">
        <w:t>National</w:t>
      </w:r>
      <w:proofErr w:type="spellEnd"/>
      <w:r w:rsidRPr="00583E92">
        <w:t xml:space="preserve"> </w:t>
      </w:r>
      <w:proofErr w:type="spellStart"/>
      <w:r w:rsidRPr="00583E92">
        <w:t>Policies</w:t>
      </w:r>
      <w:proofErr w:type="spellEnd"/>
      <w:r w:rsidRPr="00583E92">
        <w:t xml:space="preserve"> </w:t>
      </w:r>
      <w:proofErr w:type="spellStart"/>
      <w:r w:rsidRPr="00583E92">
        <w:t>Covering</w:t>
      </w:r>
      <w:proofErr w:type="spellEnd"/>
      <w:r w:rsidRPr="00583E92">
        <w:t xml:space="preserve"> </w:t>
      </w:r>
      <w:proofErr w:type="spellStart"/>
      <w:r w:rsidRPr="00583E92">
        <w:t>the</w:t>
      </w:r>
      <w:proofErr w:type="spellEnd"/>
      <w:r w:rsidRPr="00583E92">
        <w:t xml:space="preserve"> Care and Support </w:t>
      </w:r>
      <w:proofErr w:type="spellStart"/>
      <w:r w:rsidRPr="00583E92">
        <w:t>of</w:t>
      </w:r>
      <w:proofErr w:type="spellEnd"/>
      <w:r w:rsidRPr="00583E92">
        <w:t xml:space="preserve"> </w:t>
      </w:r>
      <w:proofErr w:type="spellStart"/>
      <w:r w:rsidRPr="00583E92">
        <w:t>People</w:t>
      </w:r>
      <w:proofErr w:type="spellEnd"/>
      <w:r w:rsidRPr="00583E92">
        <w:t xml:space="preserve"> </w:t>
      </w:r>
      <w:proofErr w:type="spellStart"/>
      <w:r w:rsidRPr="00583E92">
        <w:t>with</w:t>
      </w:r>
      <w:proofErr w:type="spellEnd"/>
      <w:r w:rsidRPr="00583E92">
        <w:t xml:space="preserve"> </w:t>
      </w:r>
      <w:proofErr w:type="spellStart"/>
      <w:r w:rsidRPr="00583E92">
        <w:t>Dementia</w:t>
      </w:r>
      <w:proofErr w:type="spellEnd"/>
      <w:r w:rsidRPr="00583E92">
        <w:t xml:space="preserve"> and </w:t>
      </w:r>
      <w:proofErr w:type="spellStart"/>
      <w:r w:rsidRPr="00583E92">
        <w:t>their</w:t>
      </w:r>
      <w:proofErr w:type="spellEnd"/>
      <w:r w:rsidRPr="00583E92">
        <w:t xml:space="preserve"> </w:t>
      </w:r>
      <w:proofErr w:type="spellStart"/>
      <w:r w:rsidRPr="00583E92">
        <w:t>Carers</w:t>
      </w:r>
      <w:proofErr w:type="spellEnd"/>
      <w:r>
        <w:br/>
        <w:t>Grafy: Vlastní zpracování.</w:t>
      </w:r>
    </w:p>
    <w:p w14:paraId="2F51F594" w14:textId="77777777" w:rsidR="007336F1" w:rsidRDefault="007336F1" w:rsidP="007336F1">
      <w:r>
        <w:t>Zatímco v 60. letech žilo v České republice zhruba 49 až 55 tisíc</w:t>
      </w:r>
      <w:r>
        <w:rPr>
          <w:rStyle w:val="FootnoteReference"/>
        </w:rPr>
        <w:footnoteReference w:id="5"/>
      </w:r>
      <w:r>
        <w:t xml:space="preserve"> lidí trpících demencí, při změně režimu v roce 1989 to bylo 73 až 81 tisíc lidí, na přelomu tisíciletí v roce 2000 už pak 89 až 98 tisíc ve srovnání se současnými 143 tisíci. Pokud použijeme projekci obyvatelstva</w:t>
      </w:r>
      <w:r>
        <w:rPr>
          <w:rStyle w:val="FootnoteReference"/>
        </w:rPr>
        <w:footnoteReference w:id="6"/>
      </w:r>
      <w:r>
        <w:t xml:space="preserve"> a aplikujeme na ni poslední prevalenční studie Alzheimer </w:t>
      </w:r>
      <w:proofErr w:type="spellStart"/>
      <w:r>
        <w:t>Europe</w:t>
      </w:r>
      <w:proofErr w:type="spellEnd"/>
      <w:r>
        <w:t xml:space="preserve">, můžeme říci, že koncem letošního roku bude v ČR žít 154 tisíc lidí trpících demencí. Hranici 200 tisíc lidí s tímto onemocněním dosáhneme v roce 2023 a 300 tisíc v roce 2036. </w:t>
      </w:r>
    </w:p>
    <w:p w14:paraId="5919D3F9" w14:textId="77777777" w:rsidR="007336F1" w:rsidRDefault="007336F1" w:rsidP="007336F1">
      <w:pPr>
        <w:pStyle w:val="Heading2"/>
      </w:pPr>
      <w:r>
        <w:rPr>
          <w:sz w:val="32"/>
          <w:szCs w:val="32"/>
        </w:rPr>
        <w:t>Nejvíce lidí s demencí žije v Praze</w:t>
      </w:r>
      <w:r w:rsidRPr="006E3322">
        <w:rPr>
          <w:sz w:val="32"/>
          <w:szCs w:val="32"/>
        </w:rPr>
        <w:t xml:space="preserve"> </w:t>
      </w:r>
    </w:p>
    <w:p w14:paraId="4EE5D318" w14:textId="77777777" w:rsidR="007336F1" w:rsidRDefault="007336F1" w:rsidP="007336F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D07D3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Počty lidí s demencí podle krajů</w:t>
      </w:r>
    </w:p>
    <w:p w14:paraId="61E01F2D" w14:textId="77777777" w:rsidR="007336F1" w:rsidRDefault="007336F1" w:rsidP="007336F1">
      <w:r w:rsidRPr="00F77665">
        <w:t xml:space="preserve">S ohledem </w:t>
      </w:r>
      <w:r>
        <w:t xml:space="preserve">na celkový počet obyvatel je logické, že i </w:t>
      </w:r>
      <w:r w:rsidRPr="006832D4">
        <w:rPr>
          <w:b/>
        </w:rPr>
        <w:t xml:space="preserve">největší počet lidí trpících demencí žije v Praze </w:t>
      </w:r>
      <w:r>
        <w:t xml:space="preserve">a to necelých 19 tisíc. V Jihomoravském kraji žije necelých 17 tisíc lidí s demencí, ve Středočeském kraji 16 tisíc a v Moravskoslezském kraji 15,8 tisíc lidí s tímto onemocněním. </w:t>
      </w:r>
    </w:p>
    <w:p w14:paraId="5DEDCB0D" w14:textId="5B5ACB2B" w:rsidR="008F4FC2" w:rsidRPr="008F4FC2" w:rsidRDefault="008F4FC2" w:rsidP="008F4FC2">
      <w:pPr>
        <w:keepNext/>
        <w:rPr>
          <w:i/>
        </w:rPr>
      </w:pPr>
      <w:r w:rsidRPr="006F08E2">
        <w:rPr>
          <w:i/>
        </w:rPr>
        <w:t xml:space="preserve">Graf – </w:t>
      </w:r>
      <w:r>
        <w:rPr>
          <w:i/>
        </w:rPr>
        <w:t>Počet</w:t>
      </w:r>
      <w:r w:rsidRPr="006F08E2">
        <w:rPr>
          <w:i/>
        </w:rPr>
        <w:t xml:space="preserve"> lidí s demencí v</w:t>
      </w:r>
      <w:r>
        <w:rPr>
          <w:i/>
        </w:rPr>
        <w:t xml:space="preserve"> jednotlivých krajích </w:t>
      </w:r>
      <w:r w:rsidRPr="006F08E2">
        <w:rPr>
          <w:i/>
        </w:rPr>
        <w:t>ČR</w:t>
      </w:r>
      <w:r>
        <w:rPr>
          <w:i/>
        </w:rPr>
        <w:t>, 2013</w:t>
      </w:r>
    </w:p>
    <w:p w14:paraId="6879D231" w14:textId="42BAD772" w:rsidR="007336F1" w:rsidRDefault="000C1D28" w:rsidP="007336F1">
      <w:r>
        <w:rPr>
          <w:noProof/>
          <w:lang w:val="en-US"/>
        </w:rPr>
        <w:drawing>
          <wp:inline distT="0" distB="0" distL="0" distR="0" wp14:anchorId="14E800AA" wp14:editId="2576B1B6">
            <wp:extent cx="5252936" cy="2743200"/>
            <wp:effectExtent l="0" t="0" r="30480" b="2540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07111B4" w14:textId="45310F2E" w:rsidR="007336F1" w:rsidRPr="000C1D28" w:rsidRDefault="007336F1" w:rsidP="000C1D28">
      <w:r>
        <w:t>Zdroj: Vlastní zpracování.</w:t>
      </w:r>
    </w:p>
    <w:p w14:paraId="6B55281F" w14:textId="63578AB4" w:rsidR="00D3156B" w:rsidRDefault="00D3156B" w:rsidP="00D3156B">
      <w:pPr>
        <w:pStyle w:val="Heading1"/>
        <w:spacing w:before="0"/>
      </w:pPr>
      <w:r>
        <w:rPr>
          <w:sz w:val="40"/>
          <w:szCs w:val="40"/>
        </w:rPr>
        <w:t>Kdo se o potřebné stará</w:t>
      </w:r>
      <w:r w:rsidRPr="00E0511D">
        <w:rPr>
          <w:sz w:val="40"/>
          <w:szCs w:val="40"/>
        </w:rPr>
        <w:t xml:space="preserve">? </w:t>
      </w:r>
      <w:r>
        <w:rPr>
          <w:sz w:val="40"/>
          <w:szCs w:val="40"/>
        </w:rPr>
        <w:t>Co víme o nabídce</w:t>
      </w:r>
      <w:r w:rsidRPr="00E0511D">
        <w:rPr>
          <w:sz w:val="40"/>
          <w:szCs w:val="40"/>
        </w:rPr>
        <w:t>...</w:t>
      </w:r>
      <w:r>
        <w:t xml:space="preserve"> </w:t>
      </w:r>
    </w:p>
    <w:p w14:paraId="3CF11F01" w14:textId="77777777" w:rsidR="00D3156B" w:rsidRPr="006B2716" w:rsidRDefault="00333B3A" w:rsidP="00D3156B">
      <w:pPr>
        <w:rPr>
          <w:b/>
        </w:rPr>
      </w:pPr>
      <w:r>
        <w:rPr>
          <w:b/>
        </w:rPr>
        <w:t xml:space="preserve">Kdo poskytuje služby lidem trpícím demencí? </w:t>
      </w:r>
      <w:r w:rsidR="00A429D8">
        <w:rPr>
          <w:b/>
        </w:rPr>
        <w:t xml:space="preserve">Staráme se o lidi s demencí více nebo méně </w:t>
      </w:r>
      <w:r>
        <w:rPr>
          <w:b/>
        </w:rPr>
        <w:t xml:space="preserve">než jinde v Evropě? </w:t>
      </w:r>
      <w:r w:rsidR="000F5852">
        <w:rPr>
          <w:b/>
        </w:rPr>
        <w:t xml:space="preserve">Jsou </w:t>
      </w:r>
      <w:r w:rsidR="00A429D8">
        <w:rPr>
          <w:b/>
        </w:rPr>
        <w:t xml:space="preserve">u nás </w:t>
      </w:r>
      <w:r w:rsidR="000F5852">
        <w:rPr>
          <w:b/>
        </w:rPr>
        <w:t xml:space="preserve">služby poskytovány častěji mužům nebo ženám? Nejsou některé věkové skupiny diskriminovány? </w:t>
      </w:r>
      <w:r w:rsidR="00D3156B" w:rsidRPr="006B2716">
        <w:rPr>
          <w:b/>
        </w:rPr>
        <w:t xml:space="preserve">V jakém kraji je </w:t>
      </w:r>
      <w:r w:rsidR="000F5852">
        <w:rPr>
          <w:b/>
        </w:rPr>
        <w:t>nabídka služeb</w:t>
      </w:r>
      <w:r w:rsidR="00D3156B" w:rsidRPr="006B2716">
        <w:rPr>
          <w:b/>
        </w:rPr>
        <w:t xml:space="preserve"> nejrozšířenější</w:t>
      </w:r>
      <w:r w:rsidR="00A429D8">
        <w:rPr>
          <w:b/>
        </w:rPr>
        <w:t xml:space="preserve"> a nejdostupnější</w:t>
      </w:r>
      <w:r w:rsidR="00D3156B" w:rsidRPr="006B2716">
        <w:rPr>
          <w:b/>
        </w:rPr>
        <w:t xml:space="preserve">? </w:t>
      </w:r>
      <w:r w:rsidR="000F5852">
        <w:rPr>
          <w:b/>
        </w:rPr>
        <w:t xml:space="preserve">Jaký objem péče je poskytován ve zdravotnických a </w:t>
      </w:r>
      <w:r w:rsidR="00A429D8">
        <w:rPr>
          <w:b/>
        </w:rPr>
        <w:t xml:space="preserve">jaký v </w:t>
      </w:r>
      <w:r w:rsidR="000F5852">
        <w:rPr>
          <w:b/>
        </w:rPr>
        <w:t xml:space="preserve">sociálních zařízeních? A jak se o potřebné starají rodiny a příbuzní? </w:t>
      </w:r>
    </w:p>
    <w:p w14:paraId="093F3904" w14:textId="396CF1CF" w:rsidR="00156FB7" w:rsidRDefault="00333B3A" w:rsidP="00D3156B">
      <w:r>
        <w:t>Pokud bylo složité hledat od</w:t>
      </w:r>
      <w:r w:rsidR="00D3156B" w:rsidRPr="006C073D">
        <w:t xml:space="preserve">pověď na otázku, kolik lidí trpí v České republice Alzheimerovou chorobou či jinými typy demence, </w:t>
      </w:r>
      <w:r w:rsidR="00156FB7">
        <w:t>d</w:t>
      </w:r>
      <w:r w:rsidR="00A429D8">
        <w:t>ozvědět se více o tom, kdo se o </w:t>
      </w:r>
      <w:r w:rsidR="00156FB7">
        <w:t xml:space="preserve">potřebné stará a jaké služby jsou poskytovány je doslova detektivní práce. </w:t>
      </w:r>
      <w:r w:rsidR="000F5852">
        <w:t xml:space="preserve"> S výjimkou </w:t>
      </w:r>
      <w:r w:rsidR="00E50F71">
        <w:t>vybraných</w:t>
      </w:r>
      <w:r w:rsidR="000F5852">
        <w:t xml:space="preserve"> dat Ústavu zdravotnických informací a statistiky, </w:t>
      </w:r>
      <w:r w:rsidR="00E50F71">
        <w:t xml:space="preserve">Výzkumného ústavu práce a sociálních věcí a sporadických zpráv příslušných resortních ministerstev </w:t>
      </w:r>
      <w:r w:rsidR="000F5852">
        <w:t xml:space="preserve">totiž </w:t>
      </w:r>
      <w:r w:rsidR="0095461F">
        <w:t>neexistují téměř žádné relevantní zdroje</w:t>
      </w:r>
      <w:r w:rsidR="000F5852">
        <w:t>, které by bylo možné využít</w:t>
      </w:r>
      <w:r w:rsidR="0095461F">
        <w:t xml:space="preserve"> a to i přesto, že poskytovatelé služeb jsou povinni vykazovat obrovské množství dat</w:t>
      </w:r>
      <w:r w:rsidR="000F5852">
        <w:t xml:space="preserve">. </w:t>
      </w:r>
      <w:r w:rsidR="00156FB7">
        <w:t>Ve zdravotnické statistice</w:t>
      </w:r>
      <w:r w:rsidR="0095461F">
        <w:t>, kde jsou data nejvíce dostupná,</w:t>
      </w:r>
      <w:r w:rsidR="00156FB7">
        <w:t xml:space="preserve"> se </w:t>
      </w:r>
      <w:r w:rsidR="000F5852">
        <w:t xml:space="preserve">přitom </w:t>
      </w:r>
      <w:r w:rsidR="00156FB7">
        <w:t xml:space="preserve">publikují vybrané ukazatele souhrnně za čtyřleté období, což moc </w:t>
      </w:r>
      <w:r w:rsidR="000F5852">
        <w:t xml:space="preserve">využitelnosti dat </w:t>
      </w:r>
      <w:r w:rsidR="00156FB7">
        <w:t xml:space="preserve">neprospívá. </w:t>
      </w:r>
      <w:r w:rsidR="000F5852">
        <w:t xml:space="preserve">Nemožné je také dovědět se více </w:t>
      </w:r>
      <w:r w:rsidR="00156FB7">
        <w:t>o nejsta</w:t>
      </w:r>
      <w:r w:rsidR="00A429D8">
        <w:t>rších věkových skupinách nad 80 </w:t>
      </w:r>
      <w:r w:rsidR="00156FB7">
        <w:t>let</w:t>
      </w:r>
      <w:r w:rsidR="00091C87">
        <w:t xml:space="preserve"> jejíž význam bude narůstat</w:t>
      </w:r>
      <w:r w:rsidR="00156FB7">
        <w:t xml:space="preserve">, </w:t>
      </w:r>
      <w:r w:rsidR="000F5852">
        <w:t xml:space="preserve">protože jsou prezentována pouze agregovaná data. </w:t>
      </w:r>
    </w:p>
    <w:p w14:paraId="597B0526" w14:textId="3E0839AB" w:rsidR="002F194D" w:rsidRDefault="002F194D" w:rsidP="00D3156B">
      <w:r w:rsidRPr="006832D4">
        <w:rPr>
          <w:b/>
        </w:rPr>
        <w:t xml:space="preserve">Péče o lidi s demencí se odehrává v navzájem oddělených </w:t>
      </w:r>
      <w:r w:rsidR="00E50F71" w:rsidRPr="006832D4">
        <w:rPr>
          <w:b/>
        </w:rPr>
        <w:t xml:space="preserve">a i přes nesčetné pokusy dosud stále nepropojených </w:t>
      </w:r>
      <w:r w:rsidRPr="006832D4">
        <w:rPr>
          <w:b/>
        </w:rPr>
        <w:t>sektorech.</w:t>
      </w:r>
      <w:r>
        <w:t xml:space="preserve"> Část péče je poskytována prostřednictvím </w:t>
      </w:r>
      <w:r w:rsidR="00F43971">
        <w:t xml:space="preserve">systému zdravotnictví, část prostřednictvím sociálních služeb. </w:t>
      </w:r>
      <w:r w:rsidR="00E50F71">
        <w:t>Specifické rozhraní těchto systémů v podobě dlouhodobé sociálně-zdravotní péče služeb</w:t>
      </w:r>
      <w:r w:rsidR="0095461F">
        <w:t xml:space="preserve"> je i přes opakované pokusy stále neukotvené. </w:t>
      </w:r>
      <w:r w:rsidR="00F43971">
        <w:t xml:space="preserve">Podstatná část služeb je </w:t>
      </w:r>
      <w:r w:rsidR="0095461F">
        <w:t>dále zajišťována na </w:t>
      </w:r>
      <w:r w:rsidR="00F43971">
        <w:t xml:space="preserve">neformální bázi rodinnými příslušníky a dalšími pečovateli v domácnostech. </w:t>
      </w:r>
      <w:r w:rsidR="00C40B1E">
        <w:t xml:space="preserve"> O této oblasti přitom neznáme téměř nic. </w:t>
      </w:r>
      <w:r w:rsidR="00F43971">
        <w:t>Okrajová část je pak předmětem komerčního zájmu v rámci šedé ekonomiky.</w:t>
      </w:r>
    </w:p>
    <w:p w14:paraId="5AD1898B" w14:textId="11D149D0" w:rsidR="0095461F" w:rsidRDefault="0095461F" w:rsidP="008F4FC2">
      <w:pPr>
        <w:keepNext/>
      </w:pPr>
      <w:r>
        <w:rPr>
          <w:i/>
        </w:rPr>
        <w:t>Schéma</w:t>
      </w:r>
      <w:r w:rsidRPr="00997F13">
        <w:rPr>
          <w:i/>
        </w:rPr>
        <w:t xml:space="preserve"> – </w:t>
      </w:r>
      <w:r>
        <w:rPr>
          <w:i/>
        </w:rPr>
        <w:t>Služby pro osoby trpící</w:t>
      </w:r>
      <w:r w:rsidRPr="00091C87">
        <w:rPr>
          <w:i/>
        </w:rPr>
        <w:t xml:space="preserve"> demencí</w:t>
      </w:r>
      <w:r>
        <w:rPr>
          <w:i/>
        </w:rPr>
        <w:t xml:space="preserve"> a prostředí, ve kterém jsou poskytovány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2272"/>
        <w:gridCol w:w="1985"/>
        <w:gridCol w:w="2879"/>
      </w:tblGrid>
      <w:tr w:rsidR="00F43971" w:rsidRPr="00F43971" w14:paraId="2F8F9EDF" w14:textId="77777777" w:rsidTr="00E50F71">
        <w:trPr>
          <w:trHeight w:val="280"/>
        </w:trPr>
        <w:tc>
          <w:tcPr>
            <w:tcW w:w="1380" w:type="dxa"/>
            <w:noWrap/>
            <w:hideMark/>
          </w:tcPr>
          <w:p w14:paraId="5F817392" w14:textId="77777777" w:rsidR="002F194D" w:rsidRPr="00F43971" w:rsidRDefault="00F43971" w:rsidP="00F439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F43971">
              <w:rPr>
                <w:rFonts w:eastAsia="Times New Roman" w:cs="Times New Roman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F9823" wp14:editId="449C5A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800100" cy="228600"/>
                      <wp:effectExtent l="0" t="0" r="3810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22860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5pt" to="63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" strokecolor="black [3213]" strokeweight=".5pt"/>
                  </w:pict>
                </mc:Fallback>
              </mc:AlternateContent>
            </w:r>
            <w:proofErr w:type="spellStart"/>
            <w:r w:rsidR="002F194D"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Místo</w:t>
            </w:r>
            <w:proofErr w:type="spellEnd"/>
          </w:p>
          <w:p w14:paraId="043B900B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72" w:type="dxa"/>
            <w:shd w:val="clear" w:color="auto" w:fill="000000" w:themeFill="text1"/>
            <w:noWrap/>
            <w:hideMark/>
          </w:tcPr>
          <w:p w14:paraId="7C11ADF7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FFFFFF" w:themeColor="background1"/>
                <w:sz w:val="18"/>
                <w:szCs w:val="18"/>
                <w:lang w:val="en-US"/>
              </w:rPr>
              <w:t>Terénní</w:t>
            </w:r>
            <w:proofErr w:type="spellEnd"/>
          </w:p>
        </w:tc>
        <w:tc>
          <w:tcPr>
            <w:tcW w:w="1985" w:type="dxa"/>
            <w:shd w:val="clear" w:color="auto" w:fill="000000" w:themeFill="text1"/>
            <w:noWrap/>
            <w:hideMark/>
          </w:tcPr>
          <w:p w14:paraId="4D4BD0DE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FFFFFF" w:themeColor="background1"/>
                <w:sz w:val="18"/>
                <w:szCs w:val="18"/>
                <w:lang w:val="en-US"/>
              </w:rPr>
              <w:t>Ambulantní</w:t>
            </w:r>
            <w:proofErr w:type="spellEnd"/>
          </w:p>
        </w:tc>
        <w:tc>
          <w:tcPr>
            <w:tcW w:w="2879" w:type="dxa"/>
            <w:shd w:val="clear" w:color="auto" w:fill="000000" w:themeFill="text1"/>
            <w:noWrap/>
            <w:hideMark/>
          </w:tcPr>
          <w:p w14:paraId="7098C377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FFFFFF" w:themeColor="background1"/>
                <w:sz w:val="18"/>
                <w:szCs w:val="18"/>
                <w:lang w:val="en-US"/>
              </w:rPr>
              <w:t>Institucionální</w:t>
            </w:r>
            <w:proofErr w:type="spellEnd"/>
          </w:p>
        </w:tc>
      </w:tr>
      <w:tr w:rsidR="00F43971" w:rsidRPr="00F43971" w14:paraId="27667C71" w14:textId="77777777" w:rsidTr="00E50F71">
        <w:trPr>
          <w:trHeight w:val="589"/>
        </w:trPr>
        <w:tc>
          <w:tcPr>
            <w:tcW w:w="1380" w:type="dxa"/>
            <w:shd w:val="clear" w:color="auto" w:fill="808080" w:themeFill="background1" w:themeFillShade="80"/>
            <w:noWrap/>
            <w:hideMark/>
          </w:tcPr>
          <w:p w14:paraId="33CEA78E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Neformální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</w:p>
        </w:tc>
        <w:tc>
          <w:tcPr>
            <w:tcW w:w="2272" w:type="dxa"/>
            <w:noWrap/>
            <w:hideMark/>
          </w:tcPr>
          <w:p w14:paraId="19FEC48F" w14:textId="77777777" w:rsidR="002F194D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Neformální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v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domácnostech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DC770D9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9" w:type="dxa"/>
            <w:noWrap/>
            <w:hideMark/>
          </w:tcPr>
          <w:p w14:paraId="474118F0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43971" w:rsidRPr="00F43971" w14:paraId="28B52044" w14:textId="77777777" w:rsidTr="00E50F71">
        <w:trPr>
          <w:trHeight w:val="1161"/>
        </w:trPr>
        <w:tc>
          <w:tcPr>
            <w:tcW w:w="1380" w:type="dxa"/>
            <w:shd w:val="clear" w:color="auto" w:fill="808080" w:themeFill="background1" w:themeFillShade="80"/>
            <w:noWrap/>
            <w:hideMark/>
          </w:tcPr>
          <w:p w14:paraId="21C0B8F2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Sociální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služby</w:t>
            </w:r>
            <w:proofErr w:type="spellEnd"/>
          </w:p>
        </w:tc>
        <w:tc>
          <w:tcPr>
            <w:tcW w:w="2272" w:type="dxa"/>
            <w:noWrap/>
            <w:hideMark/>
          </w:tcPr>
          <w:p w14:paraId="7983D0BC" w14:textId="77777777" w:rsid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Respitní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0EBBEAC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Pečovatelská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služby</w:t>
            </w:r>
            <w:proofErr w:type="spellEnd"/>
          </w:p>
          <w:p w14:paraId="7EFEA86B" w14:textId="77777777" w:rsid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Tísňová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</w:p>
          <w:p w14:paraId="0A900C35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teleasistenční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schémata</w:t>
            </w:r>
            <w:proofErr w:type="spellEnd"/>
          </w:p>
          <w:p w14:paraId="53310021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Osobní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asistence</w:t>
            </w:r>
            <w:proofErr w:type="spellEnd"/>
          </w:p>
        </w:tc>
        <w:tc>
          <w:tcPr>
            <w:tcW w:w="1985" w:type="dxa"/>
          </w:tcPr>
          <w:p w14:paraId="51D33C7B" w14:textId="77777777" w:rsidR="000B06B4" w:rsidRDefault="000B06B4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Centra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denních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služeb</w:t>
            </w:r>
            <w:proofErr w:type="spellEnd"/>
          </w:p>
          <w:p w14:paraId="19DED8A5" w14:textId="77777777" w:rsid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Denní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stacionáře</w:t>
            </w:r>
            <w:proofErr w:type="spellEnd"/>
          </w:p>
          <w:p w14:paraId="1529DF93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Odborné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sociální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poradenství</w:t>
            </w:r>
            <w:proofErr w:type="spellEnd"/>
          </w:p>
          <w:p w14:paraId="0272D5A2" w14:textId="77777777" w:rsidR="00F43971" w:rsidRPr="00F43971" w:rsidRDefault="00F43971" w:rsidP="00F43971">
            <w:pP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9" w:type="dxa"/>
            <w:noWrap/>
            <w:hideMark/>
          </w:tcPr>
          <w:p w14:paraId="44E3E4BE" w14:textId="77777777" w:rsidR="001B69D7" w:rsidRPr="00F43971" w:rsidRDefault="001B69D7" w:rsidP="001B69D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Týdenní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stacionáře</w:t>
            </w:r>
            <w:proofErr w:type="spellEnd"/>
          </w:p>
          <w:p w14:paraId="0A7A696B" w14:textId="77777777" w:rsidR="00F43971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Domovy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pro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seniory</w:t>
            </w:r>
            <w:proofErr w:type="spellEnd"/>
          </w:p>
          <w:p w14:paraId="152ADEE1" w14:textId="77777777" w:rsidR="00F43971" w:rsidRPr="00F43971" w:rsidRDefault="00F43971" w:rsidP="00F43971">
            <w:pP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Domovy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zvláštním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režimem</w:t>
            </w:r>
            <w:proofErr w:type="spellEnd"/>
          </w:p>
        </w:tc>
      </w:tr>
      <w:tr w:rsidR="00F43971" w:rsidRPr="00F43971" w14:paraId="1843536B" w14:textId="77777777" w:rsidTr="00E50F71">
        <w:trPr>
          <w:trHeight w:val="1547"/>
        </w:trPr>
        <w:tc>
          <w:tcPr>
            <w:tcW w:w="1380" w:type="dxa"/>
            <w:vMerge w:val="restart"/>
            <w:shd w:val="clear" w:color="auto" w:fill="808080" w:themeFill="background1" w:themeFillShade="80"/>
            <w:noWrap/>
            <w:hideMark/>
          </w:tcPr>
          <w:p w14:paraId="47A3A6AF" w14:textId="2FC429F4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Zdravotní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</w:p>
        </w:tc>
        <w:tc>
          <w:tcPr>
            <w:tcW w:w="2272" w:type="dxa"/>
            <w:noWrap/>
            <w:hideMark/>
          </w:tcPr>
          <w:p w14:paraId="6C3E5ED3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Domácí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FC8C5AE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Psychiatrické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ambulance</w:t>
            </w:r>
          </w:p>
          <w:p w14:paraId="445475F5" w14:textId="77777777" w:rsidR="002F194D" w:rsidRPr="00F43971" w:rsidRDefault="00F43971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Neurologické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a</w:t>
            </w:r>
            <w:r w:rsidR="002F194D"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mbulance</w:t>
            </w:r>
          </w:p>
          <w:p w14:paraId="773E185C" w14:textId="77777777" w:rsidR="002F194D" w:rsidRPr="00F43971" w:rsidRDefault="002F194D" w:rsidP="00F43971">
            <w:pP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Geriatrické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ambulance</w:t>
            </w:r>
          </w:p>
        </w:tc>
        <w:tc>
          <w:tcPr>
            <w:tcW w:w="2879" w:type="dxa"/>
            <w:noWrap/>
            <w:hideMark/>
          </w:tcPr>
          <w:p w14:paraId="243971E4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Nemocnice</w:t>
            </w:r>
            <w:proofErr w:type="spellEnd"/>
          </w:p>
          <w:p w14:paraId="4AD30408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Léčebny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dlouhodobě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nemocných</w:t>
            </w:r>
            <w:proofErr w:type="spellEnd"/>
          </w:p>
          <w:p w14:paraId="1C4E7655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Hospicy</w:t>
            </w:r>
            <w:proofErr w:type="spellEnd"/>
          </w:p>
          <w:p w14:paraId="091E630A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Psychiatrické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léčebny</w:t>
            </w:r>
            <w:proofErr w:type="spellEnd"/>
          </w:p>
          <w:p w14:paraId="6DCA2709" w14:textId="77777777" w:rsidR="002F194D" w:rsidRPr="00F43971" w:rsidRDefault="002F194D" w:rsidP="00F4397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Lázeňská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</w:p>
          <w:p w14:paraId="7F486B24" w14:textId="77777777" w:rsidR="002F194D" w:rsidRPr="00F43971" w:rsidRDefault="002F194D" w:rsidP="00F43971">
            <w:pP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Ostatní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lůžková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zařízení</w:t>
            </w:r>
            <w:proofErr w:type="spellEnd"/>
          </w:p>
        </w:tc>
      </w:tr>
      <w:tr w:rsidR="002F194D" w:rsidRPr="00F43971" w14:paraId="0CAB83DC" w14:textId="77777777" w:rsidTr="00F43971">
        <w:trPr>
          <w:trHeight w:val="280"/>
        </w:trPr>
        <w:tc>
          <w:tcPr>
            <w:tcW w:w="1380" w:type="dxa"/>
            <w:vMerge/>
            <w:shd w:val="clear" w:color="auto" w:fill="808080" w:themeFill="background1" w:themeFillShade="80"/>
            <w:noWrap/>
            <w:hideMark/>
          </w:tcPr>
          <w:p w14:paraId="69E3F5C7" w14:textId="77777777" w:rsidR="002F194D" w:rsidRPr="00F43971" w:rsidRDefault="002F194D" w:rsidP="002F19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36" w:type="dxa"/>
            <w:gridSpan w:val="3"/>
            <w:noWrap/>
            <w:hideMark/>
          </w:tcPr>
          <w:p w14:paraId="6958BF30" w14:textId="77777777" w:rsidR="002F194D" w:rsidRPr="00F43971" w:rsidRDefault="002F194D" w:rsidP="002F19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Hospicová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péče</w:t>
            </w:r>
            <w:proofErr w:type="spellEnd"/>
          </w:p>
        </w:tc>
      </w:tr>
      <w:tr w:rsidR="00F43971" w:rsidRPr="00F43971" w14:paraId="7AFA31EE" w14:textId="77777777" w:rsidTr="00E50F71">
        <w:trPr>
          <w:trHeight w:val="280"/>
        </w:trPr>
        <w:tc>
          <w:tcPr>
            <w:tcW w:w="1380" w:type="dxa"/>
            <w:shd w:val="clear" w:color="auto" w:fill="808080" w:themeFill="background1" w:themeFillShade="80"/>
            <w:noWrap/>
            <w:hideMark/>
          </w:tcPr>
          <w:p w14:paraId="2AEE4638" w14:textId="77777777" w:rsidR="00F43971" w:rsidRPr="00F43971" w:rsidRDefault="00F43971" w:rsidP="002F19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Šedá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ekonomika</w:t>
            </w:r>
            <w:proofErr w:type="spellEnd"/>
          </w:p>
        </w:tc>
        <w:tc>
          <w:tcPr>
            <w:tcW w:w="4257" w:type="dxa"/>
            <w:gridSpan w:val="2"/>
            <w:noWrap/>
            <w:hideMark/>
          </w:tcPr>
          <w:p w14:paraId="1208AE22" w14:textId="77777777" w:rsidR="00F43971" w:rsidRPr="00F43971" w:rsidRDefault="00F43971" w:rsidP="002F19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Osobní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služby</w:t>
            </w:r>
            <w:proofErr w:type="spellEnd"/>
          </w:p>
        </w:tc>
        <w:tc>
          <w:tcPr>
            <w:tcW w:w="2879" w:type="dxa"/>
            <w:noWrap/>
            <w:hideMark/>
          </w:tcPr>
          <w:p w14:paraId="720D1561" w14:textId="77777777" w:rsidR="00F43971" w:rsidRPr="00F43971" w:rsidRDefault="00F43971" w:rsidP="002F194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Služby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hotelového</w:t>
            </w:r>
            <w:proofErr w:type="spellEnd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39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</w:p>
        </w:tc>
      </w:tr>
    </w:tbl>
    <w:p w14:paraId="6B5A75DD" w14:textId="03859525" w:rsidR="002F194D" w:rsidRDefault="0095461F" w:rsidP="00D3156B">
      <w:r>
        <w:t xml:space="preserve">Zdroj: Vlastní </w:t>
      </w:r>
      <w:r w:rsidR="00D45003">
        <w:t>zpracování</w:t>
      </w:r>
    </w:p>
    <w:p w14:paraId="0868899D" w14:textId="77777777" w:rsidR="00D3156B" w:rsidRDefault="00D3156B" w:rsidP="00D3156B">
      <w:pPr>
        <w:pStyle w:val="Heading2"/>
      </w:pPr>
      <w:r>
        <w:rPr>
          <w:sz w:val="32"/>
          <w:szCs w:val="32"/>
        </w:rPr>
        <w:t>Češi</w:t>
      </w:r>
      <w:r w:rsidR="00A429D8">
        <w:rPr>
          <w:sz w:val="32"/>
          <w:szCs w:val="32"/>
        </w:rPr>
        <w:t xml:space="preserve"> v péči o lidi s demencí za Evropou zaostávají</w:t>
      </w:r>
      <w:r>
        <w:rPr>
          <w:sz w:val="32"/>
          <w:szCs w:val="32"/>
        </w:rPr>
        <w:t xml:space="preserve"> </w:t>
      </w:r>
      <w:r>
        <w:br/>
        <w:t xml:space="preserve">Mezinárodní srovnání </w:t>
      </w:r>
      <w:r w:rsidR="00A429D8">
        <w:t xml:space="preserve">poskytované péče </w:t>
      </w:r>
    </w:p>
    <w:p w14:paraId="2D73F5EC" w14:textId="77777777" w:rsidR="0038341D" w:rsidRDefault="00091C87" w:rsidP="0038341D">
      <w:r>
        <w:t>K</w:t>
      </w:r>
      <w:r w:rsidR="000F5852">
        <w:t xml:space="preserve"> mezinárodní</w:t>
      </w:r>
      <w:r w:rsidR="00DE47E5">
        <w:t>m</w:t>
      </w:r>
      <w:r w:rsidR="000F5852">
        <w:t xml:space="preserve"> srovnání</w:t>
      </w:r>
      <w:r w:rsidR="00DE47E5">
        <w:t>m</w:t>
      </w:r>
      <w:r w:rsidR="000F5852">
        <w:t xml:space="preserve"> </w:t>
      </w:r>
      <w:r w:rsidR="00DE47E5">
        <w:t xml:space="preserve">o objemu poskytované péče </w:t>
      </w:r>
      <w:r>
        <w:t xml:space="preserve">je třeba přistupovat </w:t>
      </w:r>
      <w:r w:rsidR="00DE47E5">
        <w:t xml:space="preserve">velmi </w:t>
      </w:r>
      <w:r>
        <w:t>obezřetně</w:t>
      </w:r>
      <w:r w:rsidR="00D3156B">
        <w:t>.</w:t>
      </w:r>
      <w:r>
        <w:t xml:space="preserve"> </w:t>
      </w:r>
      <w:r w:rsidR="00A429D8">
        <w:t>Tato srovnání se totiž zakládají pouze na</w:t>
      </w:r>
      <w:r>
        <w:t xml:space="preserve"> nejrůznější</w:t>
      </w:r>
      <w:r w:rsidR="00A429D8">
        <w:t>ch</w:t>
      </w:r>
      <w:r>
        <w:t xml:space="preserve"> expertní</w:t>
      </w:r>
      <w:r w:rsidR="00A429D8">
        <w:t>ch</w:t>
      </w:r>
      <w:r>
        <w:t xml:space="preserve"> odhad</w:t>
      </w:r>
      <w:r w:rsidR="00A429D8">
        <w:t>ech a nebývají podložena tvrdými daty. Přesto ilustrují celkový pohled na schopnost naší společnosti postarat se o lidi s demencí. Ta přitom podle expertů za zbytkem vyspělé Evropy výrazně zaostává. Zatímco v sousedním Německu jsou služby poskytovány 26 % osob trpících demencí</w:t>
      </w:r>
      <w:r w:rsidR="0038341D">
        <w:t xml:space="preserve"> a ve Francii pak každému druhému, v České republice odborníci odhadují podíl pokryté populace na necelých 10 %. </w:t>
      </w:r>
      <w:r w:rsidR="0038341D">
        <w:rPr>
          <w:b/>
        </w:rPr>
        <w:t xml:space="preserve"> </w:t>
      </w:r>
      <w:r w:rsidR="0038341D" w:rsidRPr="006832D4">
        <w:rPr>
          <w:b/>
        </w:rPr>
        <w:t xml:space="preserve">Pokud bychom chtěli v České republice nabízet obdobný objem služeb, jako je tomu průměrně v Evropě, museli bychom stávající kapacity ztrojnásobit. </w:t>
      </w:r>
    </w:p>
    <w:p w14:paraId="3813EFBA" w14:textId="77777777" w:rsidR="00D3156B" w:rsidRDefault="00D3156B" w:rsidP="00D3156B">
      <w:r w:rsidRPr="00997F13">
        <w:rPr>
          <w:i/>
        </w:rPr>
        <w:t xml:space="preserve">Graf – </w:t>
      </w:r>
      <w:r w:rsidR="00091C87" w:rsidRPr="00091C87">
        <w:rPr>
          <w:i/>
        </w:rPr>
        <w:t>Podíl osob trpících demencí, kterým jsou poskytovány služby</w:t>
      </w:r>
      <w:r w:rsidR="00091C87">
        <w:rPr>
          <w:noProof/>
          <w:lang w:val="en-US"/>
        </w:rPr>
        <w:t xml:space="preserve"> </w:t>
      </w:r>
      <w:r w:rsidR="00DE47E5">
        <w:rPr>
          <w:noProof/>
          <w:lang w:val="en-US"/>
        </w:rPr>
        <w:drawing>
          <wp:inline distT="0" distB="0" distL="0" distR="0" wp14:anchorId="3D3DF893" wp14:editId="36BECA0B">
            <wp:extent cx="5024336" cy="3166353"/>
            <wp:effectExtent l="0" t="0" r="30480" b="342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FE07734" w14:textId="5A89EA78" w:rsidR="00D3156B" w:rsidRDefault="00D3156B" w:rsidP="00D3156B">
      <w:r>
        <w:t xml:space="preserve">Zdroj: </w:t>
      </w:r>
      <w:proofErr w:type="spellStart"/>
      <w:r w:rsidR="00D45003">
        <w:t>Waldermar</w:t>
      </w:r>
      <w:proofErr w:type="spellEnd"/>
      <w:r w:rsidR="00D45003">
        <w:t>, G. A kol. 2007</w:t>
      </w:r>
      <w:r w:rsidR="00091C87" w:rsidRPr="00091C87">
        <w:t xml:space="preserve">. Access to </w:t>
      </w:r>
      <w:proofErr w:type="spellStart"/>
      <w:r w:rsidR="00091C87" w:rsidRPr="00091C87">
        <w:t>Diagnostic</w:t>
      </w:r>
      <w:proofErr w:type="spellEnd"/>
      <w:r w:rsidR="00091C87" w:rsidRPr="00091C87">
        <w:t xml:space="preserve"> </w:t>
      </w:r>
      <w:proofErr w:type="spellStart"/>
      <w:r w:rsidR="00091C87" w:rsidRPr="00091C87">
        <w:t>Evaluation</w:t>
      </w:r>
      <w:proofErr w:type="spellEnd"/>
      <w:r w:rsidR="00091C87" w:rsidRPr="00091C87">
        <w:t xml:space="preserve"> and </w:t>
      </w:r>
      <w:proofErr w:type="spellStart"/>
      <w:r w:rsidR="00091C87" w:rsidRPr="00091C87">
        <w:t>Treatment</w:t>
      </w:r>
      <w:proofErr w:type="spellEnd"/>
      <w:r w:rsidR="00091C87" w:rsidRPr="00091C87">
        <w:t xml:space="preserve"> </w:t>
      </w:r>
      <w:proofErr w:type="spellStart"/>
      <w:r w:rsidR="00091C87" w:rsidRPr="00091C87">
        <w:t>of</w:t>
      </w:r>
      <w:proofErr w:type="spellEnd"/>
      <w:r w:rsidR="00091C87" w:rsidRPr="00091C87">
        <w:t xml:space="preserve"> </w:t>
      </w:r>
      <w:proofErr w:type="spellStart"/>
      <w:r w:rsidR="00091C87" w:rsidRPr="00091C87">
        <w:t>Dementia</w:t>
      </w:r>
      <w:proofErr w:type="spellEnd"/>
      <w:r w:rsidR="00091C87" w:rsidRPr="00091C87">
        <w:t xml:space="preserve"> in </w:t>
      </w:r>
      <w:proofErr w:type="spellStart"/>
      <w:r w:rsidR="00091C87" w:rsidRPr="00091C87">
        <w:t>Europe</w:t>
      </w:r>
      <w:proofErr w:type="spellEnd"/>
      <w:r w:rsidR="00091C87" w:rsidRPr="00091C87">
        <w:t xml:space="preserve">, </w:t>
      </w:r>
      <w:proofErr w:type="spellStart"/>
      <w:r w:rsidR="00D45003">
        <w:t>Int</w:t>
      </w:r>
      <w:proofErr w:type="spellEnd"/>
      <w:r w:rsidR="00D45003">
        <w:t xml:space="preserve"> J </w:t>
      </w:r>
      <w:proofErr w:type="spellStart"/>
      <w:r w:rsidR="00091C87" w:rsidRPr="00091C87">
        <w:t>Geriatric</w:t>
      </w:r>
      <w:proofErr w:type="spellEnd"/>
      <w:r w:rsidR="00091C87" w:rsidRPr="00091C87">
        <w:t xml:space="preserve"> Psychiatry</w:t>
      </w:r>
      <w:r>
        <w:t xml:space="preserve">. </w:t>
      </w:r>
    </w:p>
    <w:p w14:paraId="1149EE6B" w14:textId="00CA7600" w:rsidR="000F6B77" w:rsidRDefault="00EA07A9" w:rsidP="000F6B77">
      <w:pPr>
        <w:pStyle w:val="Heading2"/>
      </w:pPr>
      <w:r>
        <w:rPr>
          <w:sz w:val="32"/>
          <w:szCs w:val="32"/>
        </w:rPr>
        <w:t>Zdravotnictví pomáh</w:t>
      </w:r>
      <w:r w:rsidR="00027BCA">
        <w:rPr>
          <w:sz w:val="32"/>
          <w:szCs w:val="32"/>
        </w:rPr>
        <w:t>ající</w:t>
      </w:r>
      <w:r>
        <w:rPr>
          <w:sz w:val="32"/>
          <w:szCs w:val="32"/>
        </w:rPr>
        <w:t xml:space="preserve"> pouze každému čtvrtému</w:t>
      </w:r>
      <w:r w:rsidR="000F6B77">
        <w:br/>
        <w:t>Zdravotní péče o lidi s</w:t>
      </w:r>
      <w:r w:rsidR="00640C3B">
        <w:t> </w:t>
      </w:r>
      <w:r w:rsidR="000F6B77">
        <w:t>demencí</w:t>
      </w:r>
    </w:p>
    <w:p w14:paraId="5C4C4155" w14:textId="52CFC380" w:rsidR="00543C94" w:rsidRDefault="00543C94" w:rsidP="00543C94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Zdravotní péče je lidem s demencí poskytována formou ambulantní péče a péče lůžkové. </w:t>
      </w:r>
      <w:r w:rsidR="00FE32CC">
        <w:t xml:space="preserve"> </w:t>
      </w:r>
      <w:r w:rsidR="00FE32CC" w:rsidRPr="00FE32CC">
        <w:t xml:space="preserve">V roce 2012 bylo v psychiatrických ambulancích </w:t>
      </w:r>
      <w:proofErr w:type="spellStart"/>
      <w:r w:rsidR="00FE32CC" w:rsidRPr="00FE32CC">
        <w:t>léčeno</w:t>
      </w:r>
      <w:proofErr w:type="spellEnd"/>
      <w:r w:rsidR="00FE32CC" w:rsidRPr="00FE32CC">
        <w:t xml:space="preserve"> s demencí téměř 37 tisíc pacientů, další péče (není předmětem statisti</w:t>
      </w:r>
      <w:r w:rsidR="00FE32CC">
        <w:t>k</w:t>
      </w:r>
      <w:r w:rsidR="00FE32CC" w:rsidRPr="00FE32CC">
        <w:t xml:space="preserve">) byla poskytována v neurologických a geriatrických ambulancích. </w:t>
      </w:r>
      <w:r w:rsidR="00A101B8">
        <w:t>V případě lůžkové péče bylo zaznamenáno přes 8,5 tisíce hospitalizací</w:t>
      </w:r>
      <w:r w:rsidR="00A101B8">
        <w:rPr>
          <w:rStyle w:val="FootnoteReference"/>
        </w:rPr>
        <w:footnoteReference w:id="7"/>
      </w:r>
      <w:r w:rsidR="00A101B8">
        <w:t xml:space="preserve"> osob s demencí, přičemž průměrná ošetřovací doba činila 78 dnů. Lidé s demencí byli nejčastěji hospitalizováni v psychiatrických léčebnách a nemocnicích.</w:t>
      </w:r>
    </w:p>
    <w:p w14:paraId="724EA6CF" w14:textId="1594D0AF" w:rsidR="00A101B8" w:rsidRPr="00A101B8" w:rsidRDefault="00A101B8" w:rsidP="008F4FC2">
      <w:pPr>
        <w:keepNext/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A101B8">
        <w:rPr>
          <w:i/>
        </w:rPr>
        <w:t>Graf - Počet hospitalizací podle druhu zařízení v letech 2008-2012</w:t>
      </w:r>
    </w:p>
    <w:p w14:paraId="74733823" w14:textId="77777777" w:rsidR="000F5852" w:rsidRDefault="000F5852" w:rsidP="00543C94">
      <w:pPr>
        <w:widowControl w:val="0"/>
        <w:autoSpaceDE w:val="0"/>
        <w:autoSpaceDN w:val="0"/>
        <w:adjustRightInd w:val="0"/>
        <w:spacing w:after="240" w:line="240" w:lineRule="auto"/>
      </w:pPr>
      <w:r>
        <w:rPr>
          <w:noProof/>
          <w:lang w:val="en-US"/>
        </w:rPr>
        <w:drawing>
          <wp:inline distT="0" distB="0" distL="0" distR="0" wp14:anchorId="02A82889" wp14:editId="0827BB3B">
            <wp:extent cx="5252936" cy="2701857"/>
            <wp:effectExtent l="0" t="0" r="30480" b="1651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D1F2341" w14:textId="45BBEFDF" w:rsidR="00A101B8" w:rsidRPr="00A101B8" w:rsidRDefault="00A101B8" w:rsidP="00A101B8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Zdroj: ÚZIS (2013). </w:t>
      </w:r>
      <w:proofErr w:type="spellStart"/>
      <w:r w:rsidRPr="00A101B8">
        <w:t>Péče</w:t>
      </w:r>
      <w:proofErr w:type="spellEnd"/>
      <w:r w:rsidRPr="00A101B8">
        <w:t xml:space="preserve"> o pacienty </w:t>
      </w:r>
      <w:proofErr w:type="spellStart"/>
      <w:r w:rsidRPr="00A101B8">
        <w:t>léčené</w:t>
      </w:r>
      <w:proofErr w:type="spellEnd"/>
      <w:r w:rsidRPr="00A101B8">
        <w:t xml:space="preserve"> pro demence v ambulantních a </w:t>
      </w:r>
      <w:proofErr w:type="spellStart"/>
      <w:r w:rsidRPr="00A101B8">
        <w:t>lůžkových</w:t>
      </w:r>
      <w:proofErr w:type="spellEnd"/>
      <w:r w:rsidRPr="00A101B8">
        <w:t xml:space="preserve"> </w:t>
      </w:r>
      <w:proofErr w:type="spellStart"/>
      <w:r w:rsidRPr="00A101B8">
        <w:t>zařízeních</w:t>
      </w:r>
      <w:proofErr w:type="spellEnd"/>
      <w:r w:rsidRPr="00A101B8">
        <w:t xml:space="preserve"> ČR v letech 2008–2012</w:t>
      </w:r>
    </w:p>
    <w:p w14:paraId="69F967F7" w14:textId="113C29C2" w:rsidR="00640C3B" w:rsidRDefault="00D060A2" w:rsidP="00640C3B">
      <w:r>
        <w:t xml:space="preserve">Počet hospitalizovaných osob s demencí za posledních pět sledovaných let mírně narůstá a to v řádu jednotek procent, souběžně s tím klesá průměrná ošetřovací doba. </w:t>
      </w:r>
    </w:p>
    <w:p w14:paraId="34B2F49C" w14:textId="7708D01A" w:rsidR="00D060A2" w:rsidRPr="00A101B8" w:rsidRDefault="00D060A2" w:rsidP="00D060A2">
      <w:pPr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A101B8">
        <w:rPr>
          <w:i/>
        </w:rPr>
        <w:t xml:space="preserve">Graf </w:t>
      </w:r>
      <w:r>
        <w:rPr>
          <w:i/>
        </w:rPr>
        <w:t>–</w:t>
      </w:r>
      <w:r w:rsidRPr="00A101B8">
        <w:rPr>
          <w:i/>
        </w:rPr>
        <w:t xml:space="preserve"> </w:t>
      </w:r>
      <w:r>
        <w:rPr>
          <w:i/>
        </w:rPr>
        <w:t>Vývoj počtu hospitalizací lidí s demencí a průměrné ošetřovací doby</w:t>
      </w:r>
    </w:p>
    <w:p w14:paraId="1488B395" w14:textId="77777777" w:rsidR="00EC2147" w:rsidRDefault="00543C94" w:rsidP="00640C3B">
      <w:r>
        <w:rPr>
          <w:noProof/>
          <w:lang w:val="en-US"/>
        </w:rPr>
        <w:drawing>
          <wp:inline distT="0" distB="0" distL="0" distR="0" wp14:anchorId="77468765" wp14:editId="26E83ED2">
            <wp:extent cx="5252936" cy="2743200"/>
            <wp:effectExtent l="0" t="0" r="30480" b="25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9D2BE2B" w14:textId="77777777" w:rsidR="00D060A2" w:rsidRPr="00A101B8" w:rsidRDefault="00D060A2" w:rsidP="00D060A2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Zdroj: ÚZIS (2013). </w:t>
      </w:r>
      <w:proofErr w:type="spellStart"/>
      <w:r w:rsidRPr="00A101B8">
        <w:t>Péče</w:t>
      </w:r>
      <w:proofErr w:type="spellEnd"/>
      <w:r w:rsidRPr="00A101B8">
        <w:t xml:space="preserve"> o pacienty </w:t>
      </w:r>
      <w:proofErr w:type="spellStart"/>
      <w:r w:rsidRPr="00A101B8">
        <w:t>léčené</w:t>
      </w:r>
      <w:proofErr w:type="spellEnd"/>
      <w:r w:rsidRPr="00A101B8">
        <w:t xml:space="preserve"> pro demence v ambulantních a </w:t>
      </w:r>
      <w:proofErr w:type="spellStart"/>
      <w:r w:rsidRPr="00A101B8">
        <w:t>lůžkových</w:t>
      </w:r>
      <w:proofErr w:type="spellEnd"/>
      <w:r w:rsidRPr="00A101B8">
        <w:t xml:space="preserve"> </w:t>
      </w:r>
      <w:proofErr w:type="spellStart"/>
      <w:r w:rsidRPr="00A101B8">
        <w:t>zařízeních</w:t>
      </w:r>
      <w:proofErr w:type="spellEnd"/>
      <w:r w:rsidRPr="00A101B8">
        <w:t xml:space="preserve"> ČR v letech 2008–2012</w:t>
      </w:r>
    </w:p>
    <w:p w14:paraId="2C7987A7" w14:textId="0932B565" w:rsidR="00EC2147" w:rsidRPr="0027693B" w:rsidRDefault="0027693B" w:rsidP="0027693B">
      <w:pPr>
        <w:rPr>
          <w:rFonts w:ascii="Arial" w:eastAsiaTheme="minorEastAsia" w:hAnsi="Arial" w:cs="Arial"/>
          <w:sz w:val="32"/>
          <w:szCs w:val="32"/>
          <w:lang w:val="en-US"/>
        </w:rPr>
      </w:pPr>
      <w:r>
        <w:t>Relevantní</w:t>
      </w:r>
      <w:r w:rsidR="00D060A2">
        <w:t xml:space="preserve"> je srovnání poskytované péče z hlediska pohlaví. </w:t>
      </w:r>
      <w:r>
        <w:t xml:space="preserve"> Dvě třetiny (65 %) hospitalizovaných osob v ambulantní péči tvoří ženy, v případě lůžkové péče je to 64 %. </w:t>
      </w:r>
      <w:r w:rsidRPr="0027693B">
        <w:t xml:space="preserve">Při standardizaci dat na počty osob daného pohlaví v daných </w:t>
      </w:r>
      <w:proofErr w:type="spellStart"/>
      <w:r w:rsidR="00EC2147" w:rsidRPr="0027693B">
        <w:t>věkov</w:t>
      </w:r>
      <w:r w:rsidRPr="0027693B">
        <w:t>ých</w:t>
      </w:r>
      <w:proofErr w:type="spellEnd"/>
      <w:r w:rsidRPr="0027693B">
        <w:t xml:space="preserve"> </w:t>
      </w:r>
      <w:r w:rsidR="00EC2147" w:rsidRPr="0027693B">
        <w:t>skupin</w:t>
      </w:r>
      <w:r w:rsidRPr="0027693B">
        <w:t xml:space="preserve">ách </w:t>
      </w:r>
      <w:r w:rsidR="00EC2147" w:rsidRPr="0027693B">
        <w:t xml:space="preserve">nejsou rozdíly mezi pohlavími tak významné. Ve </w:t>
      </w:r>
      <w:proofErr w:type="spellStart"/>
      <w:r w:rsidR="00EC2147" w:rsidRPr="0027693B">
        <w:t>věkové</w:t>
      </w:r>
      <w:proofErr w:type="spellEnd"/>
      <w:r w:rsidR="00EC2147" w:rsidRPr="0027693B">
        <w:t xml:space="preserve"> </w:t>
      </w:r>
      <w:proofErr w:type="spellStart"/>
      <w:r w:rsidR="00EC2147" w:rsidRPr="0027693B">
        <w:t>skupine</w:t>
      </w:r>
      <w:proofErr w:type="spellEnd"/>
      <w:r w:rsidR="00EC2147" w:rsidRPr="0027693B">
        <w:t xml:space="preserve">̌ 70–74 let je </w:t>
      </w:r>
      <w:r>
        <w:t xml:space="preserve">zastoupení </w:t>
      </w:r>
      <w:r w:rsidR="00EC2147" w:rsidRPr="0027693B">
        <w:t xml:space="preserve">žen </w:t>
      </w:r>
      <w:r>
        <w:t xml:space="preserve">vyšší </w:t>
      </w:r>
      <w:r w:rsidR="00EC2147" w:rsidRPr="0027693B">
        <w:t xml:space="preserve">o 11 %, ve </w:t>
      </w:r>
      <w:proofErr w:type="spellStart"/>
      <w:r w:rsidR="00EC2147" w:rsidRPr="0027693B">
        <w:t>věkové</w:t>
      </w:r>
      <w:proofErr w:type="spellEnd"/>
      <w:r w:rsidR="00EC2147" w:rsidRPr="0027693B">
        <w:t xml:space="preserve"> </w:t>
      </w:r>
      <w:proofErr w:type="spellStart"/>
      <w:r w:rsidR="00EC2147" w:rsidRPr="0027693B">
        <w:t>skupine</w:t>
      </w:r>
      <w:proofErr w:type="spellEnd"/>
      <w:r w:rsidR="00EC2147" w:rsidRPr="0027693B">
        <w:t xml:space="preserve">̌ 75–79 let </w:t>
      </w:r>
      <w:r>
        <w:t xml:space="preserve">pouze </w:t>
      </w:r>
      <w:r w:rsidR="00EC2147" w:rsidRPr="0027693B">
        <w:t xml:space="preserve">o 4 % a u starších 80 let o </w:t>
      </w:r>
      <w:proofErr w:type="spellStart"/>
      <w:r w:rsidR="00EC2147" w:rsidRPr="0027693B">
        <w:t>téměr</w:t>
      </w:r>
      <w:proofErr w:type="spellEnd"/>
      <w:r w:rsidR="00EC2147" w:rsidRPr="0027693B">
        <w:t>̌ 13 %.</w:t>
      </w:r>
      <w:r w:rsidRPr="0027693B">
        <w:t xml:space="preserve"> Rozdíly poskytované pé</w:t>
      </w:r>
      <w:r w:rsidR="00D45003">
        <w:t>če podle pohlaví odpovídají také</w:t>
      </w:r>
      <w:r w:rsidRPr="0027693B">
        <w:t xml:space="preserve"> prevalenčním studiím, podle kterých tvoří 68 % osob trpících deme</w:t>
      </w:r>
      <w:r>
        <w:t>n</w:t>
      </w:r>
      <w:r w:rsidRPr="0027693B">
        <w:t>cí ženy.</w:t>
      </w:r>
      <w:r>
        <w:t xml:space="preserve"> Lze tak naopak konstatovat, že s ohledem na potřebu je </w:t>
      </w:r>
      <w:r w:rsidR="00BD7DDF">
        <w:t xml:space="preserve">zdravotní </w:t>
      </w:r>
      <w:r>
        <w:t>péče častěji poskytována mužům než ženám.</w:t>
      </w:r>
      <w:r>
        <w:rPr>
          <w:rFonts w:ascii="Arial" w:eastAsiaTheme="minorEastAsia" w:hAnsi="Arial" w:cs="Arial"/>
          <w:sz w:val="32"/>
          <w:szCs w:val="32"/>
          <w:lang w:val="en-US"/>
        </w:rPr>
        <w:t xml:space="preserve">  </w:t>
      </w:r>
    </w:p>
    <w:p w14:paraId="4D55DEC5" w14:textId="2829E3D5" w:rsidR="00543C94" w:rsidRDefault="0027693B" w:rsidP="00640C3B">
      <w:r>
        <w:t xml:space="preserve">Zajímavý je také pohled na poskytovanou péči s ohledem na věk hospitalizovaných. </w:t>
      </w:r>
      <w:r w:rsidR="00C40B1E">
        <w:t xml:space="preserve"> Jak je patrné z následujícího grafu, počty hospitalizací v jednotlivých věkových skupinách v zásadě odpovídají počtu lidí s demencí. Výjimkou je kategorie osob v produktivním věku do 60 let, u které je počet hospitalizací relativně vyšší. </w:t>
      </w:r>
    </w:p>
    <w:p w14:paraId="113DE063" w14:textId="3F264F81" w:rsidR="00BD7DDF" w:rsidRPr="00BD7DDF" w:rsidRDefault="00BD7DDF" w:rsidP="00BD7DDF">
      <w:pPr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A101B8">
        <w:rPr>
          <w:i/>
        </w:rPr>
        <w:t xml:space="preserve">Graf </w:t>
      </w:r>
      <w:r>
        <w:rPr>
          <w:i/>
        </w:rPr>
        <w:t>–</w:t>
      </w:r>
      <w:r w:rsidRPr="00A101B8">
        <w:rPr>
          <w:i/>
        </w:rPr>
        <w:t xml:space="preserve"> </w:t>
      </w:r>
      <w:r>
        <w:rPr>
          <w:i/>
        </w:rPr>
        <w:t>Srovnání počtu hospitalizací a počtu lidí s demencí dle věkových skupin</w:t>
      </w:r>
    </w:p>
    <w:p w14:paraId="725001E2" w14:textId="77777777" w:rsidR="00543C94" w:rsidRDefault="00543C94" w:rsidP="00640C3B">
      <w:r>
        <w:rPr>
          <w:noProof/>
          <w:lang w:val="en-US"/>
        </w:rPr>
        <w:drawing>
          <wp:inline distT="0" distB="0" distL="0" distR="0" wp14:anchorId="12F6DA7F" wp14:editId="06CDF979">
            <wp:extent cx="5029200" cy="29845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401312D" w14:textId="7CC85D17" w:rsidR="0027693B" w:rsidRPr="00A101B8" w:rsidRDefault="0027693B" w:rsidP="0027693B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Zdroj: ÚZIS (2013). </w:t>
      </w:r>
      <w:proofErr w:type="spellStart"/>
      <w:r w:rsidRPr="00A101B8">
        <w:t>Péče</w:t>
      </w:r>
      <w:proofErr w:type="spellEnd"/>
      <w:r w:rsidRPr="00A101B8">
        <w:t xml:space="preserve"> o pacienty </w:t>
      </w:r>
      <w:proofErr w:type="spellStart"/>
      <w:r w:rsidRPr="00A101B8">
        <w:t>léčené</w:t>
      </w:r>
      <w:proofErr w:type="spellEnd"/>
      <w:r w:rsidRPr="00A101B8">
        <w:t xml:space="preserve"> pro demence v ambulantních a </w:t>
      </w:r>
      <w:proofErr w:type="spellStart"/>
      <w:r w:rsidRPr="00A101B8">
        <w:t>lůžkových</w:t>
      </w:r>
      <w:proofErr w:type="spellEnd"/>
      <w:r w:rsidRPr="00A101B8">
        <w:t xml:space="preserve"> </w:t>
      </w:r>
      <w:proofErr w:type="spellStart"/>
      <w:r w:rsidRPr="00A101B8">
        <w:t>zařízeních</w:t>
      </w:r>
      <w:proofErr w:type="spellEnd"/>
      <w:r w:rsidRPr="00A101B8">
        <w:t xml:space="preserve"> ČR v letech 2008–2012</w:t>
      </w:r>
      <w:r>
        <w:t>, vlastní zdroje a srovnání.</w:t>
      </w:r>
    </w:p>
    <w:p w14:paraId="02651E89" w14:textId="1236B901" w:rsidR="00EC2147" w:rsidRDefault="00EA07A9" w:rsidP="00640C3B">
      <w:r>
        <w:t>Otázkou tak zůstává, kde, v jakém kraji,</w:t>
      </w:r>
      <w:r w:rsidRPr="00EA07A9">
        <w:t xml:space="preserve"> je nabídka zdravotní péče o lidi s demencí nejrozšířenější a nejdostupnější a jaký objem péče o lidi s demencí je zajišťován prostřednictvím zdravotnických zařízeních.</w:t>
      </w:r>
      <w:r>
        <w:t xml:space="preserve"> Standardizovaná data přitom ukazují, že </w:t>
      </w:r>
      <w:r w:rsidRPr="006832D4">
        <w:rPr>
          <w:b/>
        </w:rPr>
        <w:t>přibližně čtvrtina (26 %) osob trpících demencí využívá ambulantní zdravotní péči, necelých 6 % pak zdravotní péči lůžkovou</w:t>
      </w:r>
      <w:r>
        <w:t xml:space="preserve">. </w:t>
      </w:r>
      <w:r w:rsidR="009E762B">
        <w:t>V jednotlivých krajích České republiky jsou přitom zcela zásadní rozdíly, které by si zasloužily podrobnější zkoumání. Nejméně využívaná je zdravotní péče lidmi s demencí v Libereckém a Jihočeském kraji, nejvíce pak v kraji Moravskoslezském. Rozdíly v tom, kolika lidem s demencí jsou poskytovány zdravotní služby, jsou mezi jednotlivými kraji dvojnásobné, v případě ambulantní péče až téměř trojnásobné. V krajích přitom nelze vysledovat významnější souvislosti a vazby mezi četností jednotlivých druhů služeb a nelze tak konstatovat, že by jedna forma služeb byla kompenzována druhou.</w:t>
      </w:r>
    </w:p>
    <w:p w14:paraId="7C5122BE" w14:textId="0F6DA79D" w:rsidR="00EC2147" w:rsidRPr="00C40B1E" w:rsidRDefault="00C40B1E" w:rsidP="00EA07A9">
      <w:pPr>
        <w:keepNext/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A101B8">
        <w:rPr>
          <w:i/>
        </w:rPr>
        <w:t xml:space="preserve">Graf </w:t>
      </w:r>
      <w:r>
        <w:rPr>
          <w:i/>
        </w:rPr>
        <w:t>–</w:t>
      </w:r>
      <w:r w:rsidRPr="00A101B8">
        <w:rPr>
          <w:i/>
        </w:rPr>
        <w:t xml:space="preserve"> </w:t>
      </w:r>
      <w:r w:rsidR="00EA07A9">
        <w:rPr>
          <w:i/>
        </w:rPr>
        <w:t>Aproximovaný p</w:t>
      </w:r>
      <w:r>
        <w:rPr>
          <w:i/>
        </w:rPr>
        <w:t>odíl osob trpících demencí, kterým je poskytována lůžková</w:t>
      </w:r>
      <w:r w:rsidR="00EA07A9">
        <w:rPr>
          <w:rStyle w:val="FootnoteReference"/>
          <w:i/>
        </w:rPr>
        <w:footnoteReference w:id="8"/>
      </w:r>
      <w:r>
        <w:rPr>
          <w:i/>
        </w:rPr>
        <w:t xml:space="preserve"> a ambulantní péče</w:t>
      </w:r>
    </w:p>
    <w:p w14:paraId="4FAEBCF9" w14:textId="77777777" w:rsidR="00EC2147" w:rsidRDefault="00EC2147" w:rsidP="00640C3B">
      <w:r>
        <w:rPr>
          <w:noProof/>
          <w:lang w:val="en-US"/>
        </w:rPr>
        <w:drawing>
          <wp:inline distT="0" distB="0" distL="0" distR="0" wp14:anchorId="77A8A9BE" wp14:editId="0618F725">
            <wp:extent cx="5138636" cy="2743200"/>
            <wp:effectExtent l="0" t="0" r="1778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D94873A" w14:textId="174C7BCB" w:rsidR="00640C3B" w:rsidRPr="00C40B1E" w:rsidRDefault="0027693B" w:rsidP="00640C3B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Zdroj: ÚZIS (2013). </w:t>
      </w:r>
      <w:proofErr w:type="spellStart"/>
      <w:r w:rsidRPr="00A101B8">
        <w:t>Péče</w:t>
      </w:r>
      <w:proofErr w:type="spellEnd"/>
      <w:r w:rsidRPr="00A101B8">
        <w:t xml:space="preserve"> o pacienty </w:t>
      </w:r>
      <w:proofErr w:type="spellStart"/>
      <w:r w:rsidRPr="00A101B8">
        <w:t>léčené</w:t>
      </w:r>
      <w:proofErr w:type="spellEnd"/>
      <w:r w:rsidRPr="00A101B8">
        <w:t xml:space="preserve"> pro demence v ambulantních a </w:t>
      </w:r>
      <w:proofErr w:type="spellStart"/>
      <w:r w:rsidRPr="00A101B8">
        <w:t>lůžkových</w:t>
      </w:r>
      <w:proofErr w:type="spellEnd"/>
      <w:r w:rsidRPr="00A101B8">
        <w:t xml:space="preserve"> </w:t>
      </w:r>
      <w:proofErr w:type="spellStart"/>
      <w:r w:rsidRPr="00A101B8">
        <w:t>zařízeních</w:t>
      </w:r>
      <w:proofErr w:type="spellEnd"/>
      <w:r w:rsidRPr="00A101B8">
        <w:t xml:space="preserve"> ČR v letech 2008–2012</w:t>
      </w:r>
      <w:r>
        <w:t xml:space="preserve">, vlastní zdroje a </w:t>
      </w:r>
      <w:r w:rsidR="00681B2E">
        <w:t>výpočty</w:t>
      </w:r>
      <w:r>
        <w:t>.</w:t>
      </w:r>
    </w:p>
    <w:p w14:paraId="6F5732D0" w14:textId="172D1387" w:rsidR="0027693B" w:rsidRDefault="00027BCA" w:rsidP="0027693B">
      <w:pPr>
        <w:pStyle w:val="Heading2"/>
      </w:pPr>
      <w:r>
        <w:rPr>
          <w:sz w:val="32"/>
          <w:szCs w:val="32"/>
        </w:rPr>
        <w:t>Téměř pětinásobné regionální rozdíly v kapacitě domovů</w:t>
      </w:r>
      <w:r w:rsidR="0027693B">
        <w:br/>
      </w:r>
      <w:r w:rsidR="00C40B1E">
        <w:t>Sociální péče</w:t>
      </w:r>
      <w:r w:rsidR="0027693B">
        <w:t xml:space="preserve"> o lidi s demencí</w:t>
      </w:r>
    </w:p>
    <w:p w14:paraId="726E7265" w14:textId="2E46B0EC" w:rsidR="003205A0" w:rsidRDefault="000B4635">
      <w:r>
        <w:t xml:space="preserve">Kvantifikovat, jaký objem péče je lidem s demencí poskytován, není na základě dostupných dat možné. Na rozdíl od zdravotní péče totiž v sociálních službách neexistují pravidelně zveřejňované informace, natož takové, které by se věnovaly problematice demence. </w:t>
      </w:r>
      <w:r w:rsidR="003205A0">
        <w:t xml:space="preserve">Veřejně dostupné informace v registru poskytovatelů sociálních služeb </w:t>
      </w:r>
      <w:r w:rsidR="00DE4800">
        <w:t>neumožňují identifikovat poskytovatele zaměřené na lidi s demencí, natož pak objem poskytované péče</w:t>
      </w:r>
      <w:r w:rsidR="003205A0">
        <w:t>.</w:t>
      </w:r>
      <w:r w:rsidR="00DE4800">
        <w:t xml:space="preserve"> Cílo</w:t>
      </w:r>
      <w:r w:rsidR="00501042">
        <w:t>vou skupinou se nejvíce blíží kategorie osob</w:t>
      </w:r>
      <w:r>
        <w:t xml:space="preserve"> s chronickým duševním onemoc</w:t>
      </w:r>
      <w:r w:rsidR="00501042">
        <w:t>něním</w:t>
      </w:r>
      <w:r>
        <w:t xml:space="preserve"> do určité míry také kategorie seniorů, z hlediska druhů sociálních služeb p. Určitou ilustraci rozsahu nabízené péče pro lidi s demencí je možné dovodit z databáze České </w:t>
      </w:r>
      <w:proofErr w:type="spellStart"/>
      <w:r>
        <w:t>alzheimerovské</w:t>
      </w:r>
      <w:proofErr w:type="spellEnd"/>
      <w:r>
        <w:t xml:space="preserve"> společnosti na serveru www.gerontologie.cz. </w:t>
      </w:r>
    </w:p>
    <w:p w14:paraId="15634169" w14:textId="47C730EA" w:rsidR="00681B2E" w:rsidRDefault="000B4635" w:rsidP="00681B2E">
      <w:r>
        <w:t xml:space="preserve">Sociální péče je lidem s demencí poskytována jednak v jejich domácnostech formou terénní, dále pak formou ambulantní péče a formou péče institucionální.  </w:t>
      </w:r>
      <w:r w:rsidR="00AE41F7">
        <w:t>Zatímco v ambulantní a terénní péči je cílová skupina poskytovatelů často širší, v</w:t>
      </w:r>
      <w:r w:rsidR="00AE41F7" w:rsidRPr="00D510A2">
        <w:t xml:space="preserve"> oblasti pobytových sociálních služeb </w:t>
      </w:r>
      <w:r w:rsidR="00AE41F7">
        <w:t xml:space="preserve">se některá zařízení </w:t>
      </w:r>
      <w:r w:rsidR="00AE41F7" w:rsidRPr="00D510A2">
        <w:t xml:space="preserve">zaměřují </w:t>
      </w:r>
      <w:r w:rsidR="00AE41F7">
        <w:t xml:space="preserve">přímo </w:t>
      </w:r>
      <w:r w:rsidR="00AE41F7" w:rsidRPr="00D510A2">
        <w:t>na</w:t>
      </w:r>
      <w:r w:rsidR="00AE41F7">
        <w:t xml:space="preserve"> </w:t>
      </w:r>
      <w:r w:rsidR="00AE41F7" w:rsidRPr="00D510A2">
        <w:t xml:space="preserve">péči o lidi </w:t>
      </w:r>
      <w:r w:rsidR="00AE41F7">
        <w:t xml:space="preserve">s Alzheimerovou nemocí, popř. jinými formami demence </w:t>
      </w:r>
      <w:r w:rsidR="00AE41F7" w:rsidRPr="00D510A2">
        <w:t>(</w:t>
      </w:r>
      <w:r w:rsidR="00AE41F7">
        <w:t>jde zejména o domovy se zvláštním režimem a</w:t>
      </w:r>
      <w:r w:rsidR="00AE41F7" w:rsidRPr="00D510A2">
        <w:t xml:space="preserve"> zvláštní oddělení domovů pro seniory). </w:t>
      </w:r>
      <w:r w:rsidR="00681B2E">
        <w:t>Právě v této oblasti lze sledovat nárůst pečovatelských kapacit. Zatímco v roce 2009 dosahoval počet domovů se zvláštním režimem 199 zařízení, v současnosti je to již 268. V roce 2010 byla evidována v těchto zařízeních celková kapacita</w:t>
      </w:r>
      <w:r w:rsidR="00681B2E" w:rsidRPr="00133A97">
        <w:t xml:space="preserve"> </w:t>
      </w:r>
      <w:r w:rsidR="00681B2E">
        <w:t>o něco málo vyšší než 10 tisíc lůžek, v případě domovů pro seniory pak necelých 40 tisíc lůžek. Podle publikovaného výzkumu</w:t>
      </w:r>
      <w:r w:rsidR="00681B2E">
        <w:rPr>
          <w:rStyle w:val="FootnoteReference"/>
        </w:rPr>
        <w:footnoteReference w:id="9"/>
      </w:r>
      <w:r w:rsidR="00681B2E">
        <w:t xml:space="preserve"> přitom </w:t>
      </w:r>
      <w:r w:rsidR="00681B2E" w:rsidRPr="006832D4">
        <w:rPr>
          <w:b/>
        </w:rPr>
        <w:t>představují lidé s demencí v domovech pro seniory cca 70</w:t>
      </w:r>
      <w:r w:rsidR="00D45003">
        <w:rPr>
          <w:b/>
        </w:rPr>
        <w:t xml:space="preserve"> </w:t>
      </w:r>
      <w:r w:rsidR="00681B2E" w:rsidRPr="006832D4">
        <w:rPr>
          <w:b/>
        </w:rPr>
        <w:t>% z obyvatel, v domovech se zvláštním režimem více než  90</w:t>
      </w:r>
      <w:r w:rsidR="00D45003">
        <w:rPr>
          <w:b/>
        </w:rPr>
        <w:t xml:space="preserve"> </w:t>
      </w:r>
      <w:r w:rsidR="00681B2E" w:rsidRPr="006832D4">
        <w:rPr>
          <w:b/>
        </w:rPr>
        <w:t>%.</w:t>
      </w:r>
      <w:r w:rsidR="00681B2E">
        <w:t xml:space="preserve"> </w:t>
      </w:r>
    </w:p>
    <w:p w14:paraId="075CE7E1" w14:textId="4CBA1CBC" w:rsidR="00681B2E" w:rsidRDefault="00681B2E" w:rsidP="00681B2E">
      <w:r>
        <w:t xml:space="preserve">Standardizovaná data tak ukazují, že </w:t>
      </w:r>
      <w:r w:rsidRPr="006832D4">
        <w:rPr>
          <w:b/>
        </w:rPr>
        <w:t xml:space="preserve">přibližně pětina (19 %) osob trpících demencí bydlí v domovech pro seniory, </w:t>
      </w:r>
      <w:r w:rsidR="00027BCA" w:rsidRPr="006832D4">
        <w:rPr>
          <w:b/>
        </w:rPr>
        <w:t xml:space="preserve">více než </w:t>
      </w:r>
      <w:r w:rsidRPr="006832D4">
        <w:rPr>
          <w:b/>
        </w:rPr>
        <w:t xml:space="preserve">6 % pak </w:t>
      </w:r>
      <w:r w:rsidR="00027BCA" w:rsidRPr="006832D4">
        <w:rPr>
          <w:b/>
        </w:rPr>
        <w:t>v domovech se zvláštním režimem</w:t>
      </w:r>
      <w:r>
        <w:t>. V jednotlivých krajích České republiky jsou přitom</w:t>
      </w:r>
      <w:r w:rsidR="00027BCA">
        <w:t xml:space="preserve"> podobně jako v případě zdravotní péče</w:t>
      </w:r>
      <w:r>
        <w:t xml:space="preserve"> zcela zásadní rozdíly</w:t>
      </w:r>
      <w:r w:rsidR="00027BCA">
        <w:t xml:space="preserve">. </w:t>
      </w:r>
      <w:r>
        <w:t>Nej</w:t>
      </w:r>
      <w:r w:rsidR="00550290">
        <w:t>více</w:t>
      </w:r>
      <w:r>
        <w:t xml:space="preserve"> využívaná je </w:t>
      </w:r>
      <w:r w:rsidR="00027BCA">
        <w:t>pobytová sociální</w:t>
      </w:r>
      <w:r>
        <w:t xml:space="preserve"> péče lidmi s demencí v</w:t>
      </w:r>
      <w:r w:rsidR="00550290">
        <w:t> </w:t>
      </w:r>
      <w:r w:rsidR="00027BCA">
        <w:t>Ústeckém</w:t>
      </w:r>
      <w:r w:rsidR="00550290">
        <w:t xml:space="preserve"> kraji, nejméně pak v Praze</w:t>
      </w:r>
      <w:r>
        <w:t xml:space="preserve">. Rozdíly v tom, kolika lidem s demencí jsou poskytovány </w:t>
      </w:r>
      <w:r w:rsidR="00027BCA">
        <w:t>pobytové sociální</w:t>
      </w:r>
      <w:r>
        <w:t xml:space="preserve"> služby, jsou </w:t>
      </w:r>
      <w:r w:rsidR="00027BCA">
        <w:t xml:space="preserve">přitom </w:t>
      </w:r>
      <w:r>
        <w:t xml:space="preserve">mezi jednotlivými kraji </w:t>
      </w:r>
      <w:r w:rsidR="00027BCA">
        <w:t xml:space="preserve">téměř pětinásobné. </w:t>
      </w:r>
    </w:p>
    <w:p w14:paraId="198099E4" w14:textId="48015B80" w:rsidR="00681B2E" w:rsidRPr="00681B2E" w:rsidRDefault="00681B2E" w:rsidP="00681B2E">
      <w:pPr>
        <w:keepNext/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A101B8">
        <w:rPr>
          <w:i/>
        </w:rPr>
        <w:t xml:space="preserve">Graf </w:t>
      </w:r>
      <w:r>
        <w:rPr>
          <w:i/>
        </w:rPr>
        <w:t>–</w:t>
      </w:r>
      <w:r w:rsidRPr="00A101B8">
        <w:rPr>
          <w:i/>
        </w:rPr>
        <w:t xml:space="preserve"> </w:t>
      </w:r>
      <w:r>
        <w:rPr>
          <w:i/>
        </w:rPr>
        <w:t>Aproximovaný podíl osob trpících demencí, kterým je poskytována péče v institucionální sociální péči</w:t>
      </w:r>
    </w:p>
    <w:p w14:paraId="3F1FF2F3" w14:textId="77777777" w:rsidR="00681B2E" w:rsidRPr="00681B2E" w:rsidRDefault="00681B2E" w:rsidP="00681B2E">
      <w:pPr>
        <w:keepNext/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681B2E">
        <w:rPr>
          <w:i/>
          <w:noProof/>
          <w:lang w:val="en-US"/>
        </w:rPr>
        <w:drawing>
          <wp:inline distT="0" distB="0" distL="0" distR="0" wp14:anchorId="5CA796EB" wp14:editId="43170227">
            <wp:extent cx="5252936" cy="2743200"/>
            <wp:effectExtent l="0" t="0" r="30480" b="2540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9C3044A" w14:textId="7789CF19" w:rsidR="00681B2E" w:rsidRPr="003205A0" w:rsidRDefault="00681B2E" w:rsidP="00681B2E">
      <w:r>
        <w:t xml:space="preserve">Zdroj: Vláda ČR (2012). </w:t>
      </w:r>
      <w:r w:rsidRPr="003205A0">
        <w:t>Návrh koncepce řešení problematiky Alzheimerovy choroby a obdobných onemocnění v ČR.</w:t>
      </w:r>
      <w:r>
        <w:t xml:space="preserve"> Neveřejný materiál 1022/12, vlastní zdroje a výpočty.</w:t>
      </w:r>
    </w:p>
    <w:p w14:paraId="6917CC5A" w14:textId="796719D1" w:rsidR="00681B2E" w:rsidRDefault="00681B2E" w:rsidP="00681B2E">
      <w:pPr>
        <w:rPr>
          <w:u w:val="single"/>
        </w:rPr>
      </w:pPr>
      <w:r w:rsidRPr="00867EA3">
        <w:t xml:space="preserve">S postupujícím </w:t>
      </w:r>
      <w:r w:rsidR="00AB54CB">
        <w:t>rozvojem</w:t>
      </w:r>
      <w:r w:rsidRPr="00867EA3">
        <w:t xml:space="preserve"> demenc</w:t>
      </w:r>
      <w:r w:rsidR="00AB54CB">
        <w:t>e</w:t>
      </w:r>
      <w:r w:rsidR="00027BCA">
        <w:t>, kdy</w:t>
      </w:r>
      <w:r w:rsidRPr="00867EA3">
        <w:t xml:space="preserve"> se </w:t>
      </w:r>
      <w:r w:rsidR="00027BCA">
        <w:t xml:space="preserve">jedinec stává </w:t>
      </w:r>
      <w:r w:rsidRPr="00867EA3">
        <w:t>závislý na péči druhé osoby, je možné</w:t>
      </w:r>
      <w:r w:rsidR="00027BCA">
        <w:t xml:space="preserve"> od státu</w:t>
      </w:r>
      <w:r w:rsidRPr="00867EA3">
        <w:t xml:space="preserve"> získat </w:t>
      </w:r>
      <w:r w:rsidR="00027BCA">
        <w:t xml:space="preserve">dávku - </w:t>
      </w:r>
      <w:r w:rsidRPr="00867EA3">
        <w:t>příspěvek na péči podle stupně závislost.</w:t>
      </w:r>
      <w:r>
        <w:t xml:space="preserve"> </w:t>
      </w:r>
      <w:r w:rsidRPr="00CD7958">
        <w:t>Z údajů MPSV</w:t>
      </w:r>
      <w:r>
        <w:rPr>
          <w:rStyle w:val="FootnoteReference"/>
        </w:rPr>
        <w:footnoteReference w:id="10"/>
      </w:r>
      <w:r w:rsidRPr="00CD7958">
        <w:t xml:space="preserve"> vyplývá, že </w:t>
      </w:r>
      <w:r>
        <w:t>v roce 2010 činil počet lidí</w:t>
      </w:r>
      <w:r w:rsidRPr="00310C30">
        <w:t xml:space="preserve"> </w:t>
      </w:r>
      <w:r>
        <w:t xml:space="preserve">trpících Alzheimerovou nemocí, u kterých byla posouzena závislost, téměř 4,5 tisíce osob, přičemž drtivé většině (96 % byl příspěvek na péči přiznán a nejčastěji je výsledkem šetření přiznání příspěvku pro vyšší a nejvyšší stupeň závislosti). Z toho byla u 1797 osob diagnostikována demence u Alzheimerovy nemoci, přičemž ÚZIS v roce 2012 evidoval počet nově zjištěných onemocnění dané diagnózy ve výši 4373 osob.  Z toho vyplývá, že </w:t>
      </w:r>
      <w:r w:rsidRPr="006832D4">
        <w:rPr>
          <w:b/>
        </w:rPr>
        <w:t>ani ne polovina osob která je ambulantními zařízeními diagnostikována, využívá možnosti příspěvku na péči</w:t>
      </w:r>
      <w:r>
        <w:t>.</w:t>
      </w:r>
      <w:r>
        <w:rPr>
          <w:u w:val="single"/>
        </w:rPr>
        <w:t xml:space="preserve"> </w:t>
      </w:r>
    </w:p>
    <w:p w14:paraId="51077CE0" w14:textId="77777777" w:rsidR="00681B2E" w:rsidRDefault="00681B2E" w:rsidP="00681B2E">
      <w:pPr>
        <w:keepNext/>
        <w:widowControl w:val="0"/>
        <w:autoSpaceDE w:val="0"/>
        <w:autoSpaceDN w:val="0"/>
        <w:adjustRightInd w:val="0"/>
        <w:spacing w:after="240" w:line="240" w:lineRule="auto"/>
        <w:rPr>
          <w:i/>
        </w:rPr>
      </w:pPr>
      <w:r w:rsidRPr="00A101B8">
        <w:rPr>
          <w:i/>
        </w:rPr>
        <w:t xml:space="preserve">Graf </w:t>
      </w:r>
      <w:r>
        <w:rPr>
          <w:i/>
        </w:rPr>
        <w:t>–</w:t>
      </w:r>
      <w:r w:rsidRPr="00A101B8">
        <w:rPr>
          <w:i/>
        </w:rPr>
        <w:t xml:space="preserve"> </w:t>
      </w:r>
      <w:r w:rsidRPr="003205A0">
        <w:rPr>
          <w:i/>
        </w:rPr>
        <w:t>Počty posouzených a uznaných stupňů závislosti v případě příspěvku na péči u Alzheimerovy choroby(G30) a u demence u Alzheimerovy choroby (F00) v roce 2010</w:t>
      </w:r>
    </w:p>
    <w:p w14:paraId="5AA220B8" w14:textId="28F91CF1" w:rsidR="001B69D7" w:rsidRPr="00681B2E" w:rsidRDefault="00681B2E">
      <w:r>
        <w:rPr>
          <w:noProof/>
          <w:lang w:val="en-US"/>
        </w:rPr>
        <w:drawing>
          <wp:inline distT="0" distB="0" distL="0" distR="0" wp14:anchorId="0768B45B" wp14:editId="56DBBC42">
            <wp:extent cx="5252720" cy="2609688"/>
            <wp:effectExtent l="0" t="0" r="30480" b="3238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t xml:space="preserve">Zdroj: Vláda ČR (2012). </w:t>
      </w:r>
      <w:r w:rsidRPr="003205A0">
        <w:t>Návrh koncepce řešení problematiky Alzheimerovy choroby a obdobných onemocnění v ČR.</w:t>
      </w:r>
      <w:r>
        <w:t xml:space="preserve"> Neveřejný materiál 1022/12.</w:t>
      </w:r>
    </w:p>
    <w:p w14:paraId="68C7BD81" w14:textId="4FF22428" w:rsidR="0027693B" w:rsidRDefault="00C40B1E" w:rsidP="0027693B">
      <w:pPr>
        <w:pStyle w:val="Heading2"/>
      </w:pPr>
      <w:r>
        <w:rPr>
          <w:sz w:val="32"/>
          <w:szCs w:val="32"/>
        </w:rPr>
        <w:t xml:space="preserve">Zcela neznámá solidární péče v domácnostech </w:t>
      </w:r>
      <w:r w:rsidR="0027693B">
        <w:br/>
      </w:r>
      <w:r w:rsidR="00BD7DDF">
        <w:t xml:space="preserve">Neformální </w:t>
      </w:r>
      <w:r w:rsidR="0027693B">
        <w:t>péče o lidi s demencí</w:t>
      </w:r>
    </w:p>
    <w:p w14:paraId="0318FDE5" w14:textId="61DDF71C" w:rsidR="000B0C35" w:rsidRDefault="001A1CFE">
      <w:r>
        <w:t xml:space="preserve">Zatímco o zdravotní péči poskytované lidem s demencí toho víme málo a o sociálních službách ještě </w:t>
      </w:r>
      <w:r w:rsidR="0037434D">
        <w:t>podstatně</w:t>
      </w:r>
      <w:r>
        <w:t xml:space="preserve"> méně, o neformální péči nevíme téměř nic. V této oblasti se dosud zcela spoléháme na expertní odhady</w:t>
      </w:r>
      <w:r w:rsidR="000B0C35">
        <w:t>,</w:t>
      </w:r>
      <w:r>
        <w:t xml:space="preserve"> projekce </w:t>
      </w:r>
      <w:r w:rsidR="000B0C35">
        <w:t>a výběrová šetření z jiných států, které se radikálně liší. P</w:t>
      </w:r>
      <w:r>
        <w:t xml:space="preserve">odle OECD tvoří zhruba 70-90 % všech poskytovatelů dlouhodobé péče neformální pečovatelé. V ročence </w:t>
      </w:r>
      <w:r w:rsidRPr="001A1CFE">
        <w:t xml:space="preserve">společnosti Alzheimer </w:t>
      </w:r>
      <w:proofErr w:type="spellStart"/>
      <w:r w:rsidRPr="001A1CFE">
        <w:t>Europe</w:t>
      </w:r>
      <w:proofErr w:type="spellEnd"/>
      <w:r>
        <w:rPr>
          <w:rStyle w:val="FootnoteReference"/>
          <w:rFonts w:ascii="Lucida Grande" w:hAnsi="Lucida Grande" w:cs="Lucida Grande"/>
          <w:color w:val="000000"/>
        </w:rPr>
        <w:footnoteReference w:id="11"/>
      </w:r>
      <w:r w:rsidRPr="001A1CFE">
        <w:t xml:space="preserve"> je </w:t>
      </w:r>
      <w:r w:rsidR="000B0C35" w:rsidRPr="006832D4">
        <w:rPr>
          <w:b/>
        </w:rPr>
        <w:t>počet lidí s demencí v České republice, o které se starají neformální pečovatelé,</w:t>
      </w:r>
      <w:r w:rsidRPr="006832D4">
        <w:rPr>
          <w:b/>
        </w:rPr>
        <w:t xml:space="preserve"> odhadován na 100 tisíc</w:t>
      </w:r>
      <w:r w:rsidR="00DE5935">
        <w:t>, což odpovídá nižší hodnotě v uvedeném intervalu</w:t>
      </w:r>
      <w:r>
        <w:t>.</w:t>
      </w:r>
      <w:r w:rsidR="0023449A">
        <w:t xml:space="preserve"> </w:t>
      </w:r>
      <w:r w:rsidR="00027BCA">
        <w:t xml:space="preserve">Uvádí se, že o každého postiženého demencí, pečují  2 až 3 rodinní příslušníci (dohromady tedy cca 250 tisíc lidí). </w:t>
      </w:r>
      <w:r w:rsidR="0023449A">
        <w:t>Podle Světové zdravotnické organizace přitom neformální pečovatelé zajišťují až 10 hodin péče denně (2.1 hodin pomoci se základními aktivitami denního života - ADL, 4.4 hodin s kombinovanými aktivitami a 3.4 hodin dohledu).</w:t>
      </w:r>
      <w:r w:rsidR="000B0C35">
        <w:t xml:space="preserve"> </w:t>
      </w:r>
      <w:r w:rsidR="000B0C35" w:rsidRPr="000B0C35">
        <w:t>Podle jiného výzkumu</w:t>
      </w:r>
      <w:r w:rsidR="00DE5935">
        <w:rPr>
          <w:rStyle w:val="FootnoteReference"/>
        </w:rPr>
        <w:footnoteReference w:id="12"/>
      </w:r>
      <w:r w:rsidR="000B0C35" w:rsidRPr="000B0C35">
        <w:t xml:space="preserve"> </w:t>
      </w:r>
      <w:r w:rsidR="00DE5935">
        <w:t>je však pečovatelská doba výrazně nižší</w:t>
      </w:r>
      <w:r w:rsidR="000B0C35" w:rsidRPr="000B0C35">
        <w:t xml:space="preserve"> –  dle </w:t>
      </w:r>
      <w:r w:rsidR="00DE5935">
        <w:t>publikova</w:t>
      </w:r>
      <w:r w:rsidR="000B0C35" w:rsidRPr="000B0C35">
        <w:t>ných dat třetina pečujících (32 %) strávila péčí nejméně 14 hodin týdně a dalších 12 % uvádělo čas mezi 10 a 14 hodinami.</w:t>
      </w:r>
    </w:p>
    <w:p w14:paraId="16B50921" w14:textId="77777777" w:rsidR="00F27C42" w:rsidRDefault="00F27C42" w:rsidP="00376294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EA51677" w14:textId="0CFEAAF9" w:rsidR="00376294" w:rsidRDefault="00376294" w:rsidP="00376294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t xml:space="preserve">Jaký je </w:t>
      </w:r>
      <w:r w:rsidR="00F82CF2">
        <w:rPr>
          <w:sz w:val="40"/>
          <w:szCs w:val="40"/>
        </w:rPr>
        <w:t>regulatorní</w:t>
      </w:r>
      <w:r w:rsidR="00F27C42">
        <w:rPr>
          <w:sz w:val="40"/>
          <w:szCs w:val="40"/>
        </w:rPr>
        <w:t xml:space="preserve"> </w:t>
      </w:r>
      <w:r>
        <w:rPr>
          <w:sz w:val="40"/>
          <w:szCs w:val="40"/>
        </w:rPr>
        <w:t>kontext? Vliv prostředí...</w:t>
      </w:r>
    </w:p>
    <w:p w14:paraId="7E5BBC20" w14:textId="045495A6" w:rsidR="00376294" w:rsidRDefault="00C15103" w:rsidP="00376294">
      <w:pPr>
        <w:rPr>
          <w:b/>
        </w:rPr>
      </w:pPr>
      <w:r>
        <w:rPr>
          <w:b/>
        </w:rPr>
        <w:t>Co dělá Česká republika pro to, aby</w:t>
      </w:r>
      <w:r w:rsidR="00F82CF2">
        <w:rPr>
          <w:b/>
        </w:rPr>
        <w:t xml:space="preserve"> existoval ucelený rámec pro boj proti demenci</w:t>
      </w:r>
      <w:r w:rsidR="00376294" w:rsidRPr="006B2716">
        <w:rPr>
          <w:b/>
        </w:rPr>
        <w:t>?</w:t>
      </w:r>
      <w:r w:rsidR="00F82CF2">
        <w:rPr>
          <w:b/>
        </w:rPr>
        <w:t xml:space="preserve"> </w:t>
      </w:r>
      <w:r w:rsidR="004F1E7A">
        <w:rPr>
          <w:b/>
        </w:rPr>
        <w:t xml:space="preserve">Kolik do dané oblasti investujeme a kolik nás řešení tohoto problému stojí? Podporujeme dostatečně vědu a aplikovaný výzkum fenoménu demence? </w:t>
      </w:r>
      <w:r w:rsidR="00F82CF2">
        <w:rPr>
          <w:b/>
        </w:rPr>
        <w:t>Jak jsou na to ve srovnání s námi ostatní státy?</w:t>
      </w:r>
      <w:r w:rsidR="00376294" w:rsidRPr="006B2716">
        <w:rPr>
          <w:b/>
        </w:rPr>
        <w:t xml:space="preserve"> </w:t>
      </w:r>
    </w:p>
    <w:p w14:paraId="53ECD28F" w14:textId="4E03B125" w:rsidR="004F1E7A" w:rsidRDefault="004F1E7A" w:rsidP="00376294">
      <w:r w:rsidRPr="004F1E7A">
        <w:t xml:space="preserve">Péče o lidi s demencí a jejich potřeby se stávají stále významnější prioritou v mnoha ekonomických sektorech, vědních oborech i geografických oblastech. </w:t>
      </w:r>
      <w:r w:rsidR="0061266F">
        <w:t>Prostředí tak významně ovlivňuje možnosti pomoci lidem s demencí a naše schopnosti toto téma systémově řešit.</w:t>
      </w:r>
    </w:p>
    <w:p w14:paraId="387138A9" w14:textId="362EDC21" w:rsidR="004F1E7A" w:rsidRPr="004F1E7A" w:rsidRDefault="004F1E7A" w:rsidP="004F1E7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Nesplněný slib vlády České republiky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br/>
      </w:r>
      <w:r w:rsidR="0061266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Strategický kontext boje</w:t>
      </w:r>
      <w:r w:rsidRPr="004F1E7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s demencí</w:t>
      </w:r>
    </w:p>
    <w:p w14:paraId="391A2415" w14:textId="2940E6A2" w:rsidR="000B0C35" w:rsidRDefault="0061266F" w:rsidP="0061266F">
      <w:r w:rsidRPr="0061266F">
        <w:t xml:space="preserve">Boj s demencí je v posledních několika letech v hledáčku zájmu nejrůznějších mezinárodních institucí počínaje Evropskou unií, přes Světovou zdravotnickou organizaci až po Organizaci pro ekonomickou spolupráci a rozvoj. Boj s demencí </w:t>
      </w:r>
      <w:r>
        <w:t>je paralelně akcentován</w:t>
      </w:r>
      <w:r w:rsidRPr="0061266F">
        <w:t xml:space="preserve"> jako politikum také na úrovni vybraných států. </w:t>
      </w:r>
      <w:r w:rsidR="000B0C35" w:rsidRPr="0061266F">
        <w:t>Francie, Anglie, Skotsko</w:t>
      </w:r>
      <w:r w:rsidRPr="0061266F">
        <w:t>, Belgie, Nizozemí, Švýcarsko, Švédsko, Finsko</w:t>
      </w:r>
      <w:r w:rsidR="000B0C35" w:rsidRPr="0061266F">
        <w:t xml:space="preserve"> či Norsko</w:t>
      </w:r>
      <w:r w:rsidR="004F1E7A" w:rsidRPr="0061266F">
        <w:t xml:space="preserve"> </w:t>
      </w:r>
      <w:r w:rsidRPr="0061266F">
        <w:t>–</w:t>
      </w:r>
      <w:r w:rsidR="004F1E7A" w:rsidRPr="0061266F">
        <w:t xml:space="preserve"> </w:t>
      </w:r>
      <w:r w:rsidRPr="0061266F">
        <w:t xml:space="preserve">všechny </w:t>
      </w:r>
      <w:r w:rsidR="004F1E7A" w:rsidRPr="0061266F">
        <w:t xml:space="preserve">tyto </w:t>
      </w:r>
      <w:r>
        <w:t xml:space="preserve">evropské </w:t>
      </w:r>
      <w:r w:rsidR="004F1E7A" w:rsidRPr="0061266F">
        <w:t xml:space="preserve">státy </w:t>
      </w:r>
      <w:r w:rsidR="000B0C35" w:rsidRPr="0061266F">
        <w:t xml:space="preserve">již formulovaly </w:t>
      </w:r>
      <w:r w:rsidRPr="0061266F">
        <w:t xml:space="preserve">ucelené </w:t>
      </w:r>
      <w:r w:rsidR="000B0C35" w:rsidRPr="0061266F">
        <w:t xml:space="preserve">národní strategie pro problematiku demencí. </w:t>
      </w:r>
      <w:r w:rsidRPr="006832D4">
        <w:rPr>
          <w:b/>
        </w:rPr>
        <w:t>Česká republika se v tomto ohledu řadí mezi země, které sestavení plánu přislíbily, ale dosud tento slib nesplnily</w:t>
      </w:r>
      <w:r w:rsidRPr="0061266F">
        <w:t>.</w:t>
      </w:r>
    </w:p>
    <w:p w14:paraId="39DC9BE2" w14:textId="4C177519" w:rsidR="0061266F" w:rsidRPr="0058386E" w:rsidRDefault="0061266F" w:rsidP="0061266F">
      <w:pPr>
        <w:rPr>
          <w:i/>
        </w:rPr>
      </w:pPr>
      <w:r w:rsidRPr="0058386E">
        <w:rPr>
          <w:i/>
        </w:rPr>
        <w:t>Obrázek – Stav příprav národních plánů Alzheimer</w:t>
      </w:r>
    </w:p>
    <w:p w14:paraId="10E04497" w14:textId="1B41D845" w:rsidR="004F1E7A" w:rsidRDefault="004F1E7A" w:rsidP="000B0C35">
      <w:pPr>
        <w:rPr>
          <w:rFonts w:ascii="Arial" w:hAnsi="Arial" w:cs="Arial"/>
        </w:rPr>
      </w:pPr>
      <w:r>
        <w:rPr>
          <w:rFonts w:ascii="Helvetica" w:eastAsiaTheme="minorEastAsia" w:hAnsi="Helvetica" w:cs="Helvetica"/>
          <w:noProof/>
          <w:sz w:val="24"/>
          <w:szCs w:val="24"/>
          <w:lang w:val="en-US"/>
        </w:rPr>
        <w:drawing>
          <wp:inline distT="0" distB="0" distL="0" distR="0" wp14:anchorId="427444C7" wp14:editId="6CCA4F5D">
            <wp:extent cx="5346486" cy="2980866"/>
            <wp:effectExtent l="0" t="0" r="0" b="0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" t="9983"/>
                    <a:stretch/>
                  </pic:blipFill>
                  <pic:spPr bwMode="auto">
                    <a:xfrm>
                      <a:off x="0" y="0"/>
                      <a:ext cx="5347650" cy="298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7904A" w14:textId="6C074A29" w:rsidR="0061266F" w:rsidRPr="0061266F" w:rsidRDefault="0061266F" w:rsidP="000B0C35">
      <w:r w:rsidRPr="0061266F">
        <w:t xml:space="preserve">Zdroj: Alzheimer </w:t>
      </w:r>
      <w:proofErr w:type="spellStart"/>
      <w:r w:rsidRPr="0061266F">
        <w:t>Europe</w:t>
      </w:r>
      <w:proofErr w:type="spellEnd"/>
    </w:p>
    <w:p w14:paraId="2669485F" w14:textId="36E3E35B" w:rsidR="003E0FD3" w:rsidRPr="006832D4" w:rsidRDefault="00CA4A1B" w:rsidP="00393655">
      <w:pPr>
        <w:rPr>
          <w:b/>
        </w:rPr>
      </w:pPr>
      <w:r>
        <w:t xml:space="preserve">Vláda České republiky se </w:t>
      </w:r>
      <w:r w:rsidRPr="006832D4">
        <w:t>problematikou demenc</w:t>
      </w:r>
      <w:r w:rsidR="00393655" w:rsidRPr="006832D4">
        <w:t xml:space="preserve">í </w:t>
      </w:r>
      <w:r w:rsidRPr="006832D4">
        <w:t>dosud uceleně zabývala pouze dvakrá</w:t>
      </w:r>
      <w:r w:rsidR="00DE5935" w:rsidRPr="006832D4">
        <w:t>t. V říjnu 2010 bylo projednáno</w:t>
      </w:r>
      <w:r w:rsidRPr="006832D4">
        <w:t xml:space="preserve">  Doporučení Rady vlády pro seniory a stárnutí populace ve věci zpracování koncepce řešení problematiky Alzheimerovy choroby a obdobných onemocnění v České republice</w:t>
      </w:r>
      <w:r w:rsidR="00DE5935" w:rsidRPr="006832D4">
        <w:t xml:space="preserve">. </w:t>
      </w:r>
      <w:r w:rsidR="00DC2DDD" w:rsidRPr="006832D4">
        <w:t>V tomto případě</w:t>
      </w:r>
      <w:r w:rsidR="00DE5935" w:rsidRPr="006832D4">
        <w:t xml:space="preserve"> vláda </w:t>
      </w:r>
      <w:r w:rsidRPr="006832D4">
        <w:t>usnesením 711/2010 uložila ministrům</w:t>
      </w:r>
      <w:r w:rsidRPr="0061266F">
        <w:t xml:space="preserve"> zdravotnictví, práce a sociálních věcí, školství, mládeže a tělovýchovy a spravedlnosti zpracovat a předložit vládě do 30. června 2011 návrh koncepce řešení problematiky </w:t>
      </w:r>
      <w:r w:rsidRPr="006832D4">
        <w:t>Alzheimerovy choroby a obdobných onemocnění v České republice.</w:t>
      </w:r>
      <w:r w:rsidR="00DE5935" w:rsidRPr="006832D4">
        <w:t xml:space="preserve"> </w:t>
      </w:r>
      <w:r w:rsidR="003E0FD3" w:rsidRPr="006832D4">
        <w:t xml:space="preserve">O dva roky později, v rozporu s předchozím </w:t>
      </w:r>
      <w:r w:rsidR="00DC2DDD" w:rsidRPr="006832D4">
        <w:t>časovým plánem</w:t>
      </w:r>
      <w:r w:rsidR="00DC2DDD" w:rsidRPr="006832D4">
        <w:rPr>
          <w:vertAlign w:val="superscript"/>
        </w:rPr>
        <w:footnoteReference w:id="13"/>
      </w:r>
      <w:r w:rsidR="003E0FD3" w:rsidRPr="006832D4">
        <w:t xml:space="preserve">, projednala vláda Návrh koncepce řešení problematiky Alzheimerovy choroby a obdobných onemocnění v ČR. </w:t>
      </w:r>
      <w:r w:rsidR="0058386E" w:rsidRPr="006832D4">
        <w:t xml:space="preserve"> Tento návrh obsahuje mimo jiné 13 dílčích cílů s rámcovými úkoly pro jednotlivé resorty. </w:t>
      </w:r>
      <w:r w:rsidR="003E0FD3" w:rsidRPr="006832D4">
        <w:t>Výsledkem</w:t>
      </w:r>
      <w:r w:rsidR="003E0FD3" w:rsidRPr="0061266F">
        <w:t xml:space="preserve"> </w:t>
      </w:r>
      <w:r w:rsidR="0058386E">
        <w:t xml:space="preserve">jednání vlády </w:t>
      </w:r>
      <w:r w:rsidR="003E0FD3" w:rsidRPr="0061266F">
        <w:t>byl</w:t>
      </w:r>
      <w:r w:rsidR="00393655">
        <w:t>o usnesení 741/2012, kterým byla</w:t>
      </w:r>
      <w:r w:rsidR="003E0FD3" w:rsidRPr="0061266F">
        <w:t xml:space="preserve"> ministru zdravotnictví uložena povinnost do konce roku 2012 vytvořit Meziresortní a mezioborovou pracovní skupinu k dané problematice a </w:t>
      </w:r>
      <w:r w:rsidR="003E0FD3" w:rsidRPr="006832D4">
        <w:rPr>
          <w:b/>
        </w:rPr>
        <w:t>předložit v</w:t>
      </w:r>
      <w:r w:rsidR="0058386E" w:rsidRPr="006832D4">
        <w:rPr>
          <w:b/>
        </w:rPr>
        <w:t>ládě do 31. října 2013 Národní</w:t>
      </w:r>
      <w:r w:rsidR="003E0FD3" w:rsidRPr="006832D4">
        <w:rPr>
          <w:b/>
        </w:rPr>
        <w:t xml:space="preserve"> akční</w:t>
      </w:r>
      <w:r w:rsidR="0058386E" w:rsidRPr="006832D4">
        <w:rPr>
          <w:b/>
        </w:rPr>
        <w:t xml:space="preserve"> plán</w:t>
      </w:r>
      <w:r w:rsidR="003E0FD3" w:rsidRPr="006832D4">
        <w:rPr>
          <w:b/>
        </w:rPr>
        <w:t xml:space="preserve"> pro Alzheimerovu nemoc a další obdobná onemocnění na léta 2014 – 2017</w:t>
      </w:r>
      <w:r w:rsidR="00393655" w:rsidRPr="006832D4">
        <w:rPr>
          <w:b/>
        </w:rPr>
        <w:t>.</w:t>
      </w:r>
      <w:r w:rsidR="003E0FD3" w:rsidRPr="006832D4">
        <w:rPr>
          <w:b/>
        </w:rPr>
        <w:t xml:space="preserve"> Přestože je již konec roku 2014, žádný takový plán vládě dosud nebyl předložen a informace o něm nejsou dostupné ani na webových stránkách ministerstva zdravotnictví či jinde na internetu.</w:t>
      </w:r>
    </w:p>
    <w:p w14:paraId="1611CCA6" w14:textId="6A7B14E8" w:rsidR="00393655" w:rsidRPr="004F1E7A" w:rsidRDefault="00393655" w:rsidP="0039365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Náklady ve výši 39 miliard již stojí za pozornost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br/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Ekonomický kontext boje</w:t>
      </w:r>
      <w:r w:rsidRPr="004F1E7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s demencí</w:t>
      </w:r>
    </w:p>
    <w:p w14:paraId="7A33394A" w14:textId="23100223" w:rsidR="000F29D8" w:rsidRDefault="003D70FB" w:rsidP="000F29D8">
      <w:r w:rsidRPr="003D70FB">
        <w:t xml:space="preserve">Lidé s demencí vyžadují náročnou a nákladnou péči. </w:t>
      </w:r>
      <w:proofErr w:type="spellStart"/>
      <w:r w:rsidR="00393655" w:rsidRPr="003D70FB">
        <w:t>Potřeba</w:t>
      </w:r>
      <w:proofErr w:type="spellEnd"/>
      <w:r w:rsidR="00393655" w:rsidRPr="003D70FB">
        <w:t xml:space="preserve"> </w:t>
      </w:r>
      <w:proofErr w:type="spellStart"/>
      <w:r w:rsidR="00393655" w:rsidRPr="003D70FB">
        <w:t>péče</w:t>
      </w:r>
      <w:proofErr w:type="spellEnd"/>
      <w:r w:rsidR="00393655" w:rsidRPr="003D70FB">
        <w:t xml:space="preserve"> </w:t>
      </w:r>
      <w:r w:rsidRPr="003D70FB">
        <w:t xml:space="preserve">tak </w:t>
      </w:r>
      <w:proofErr w:type="spellStart"/>
      <w:r w:rsidR="00393655" w:rsidRPr="003D70FB">
        <w:t>přináší</w:t>
      </w:r>
      <w:proofErr w:type="spellEnd"/>
      <w:r w:rsidR="00393655" w:rsidRPr="003D70FB">
        <w:t xml:space="preserve"> </w:t>
      </w:r>
      <w:proofErr w:type="spellStart"/>
      <w:r w:rsidR="00393655" w:rsidRPr="003D70FB">
        <w:t>značné</w:t>
      </w:r>
      <w:proofErr w:type="spellEnd"/>
      <w:r w:rsidR="00393655" w:rsidRPr="003D70FB">
        <w:t xml:space="preserve"> nároky na veřejné i soukromé </w:t>
      </w:r>
      <w:proofErr w:type="spellStart"/>
      <w:r w:rsidR="00393655" w:rsidRPr="003D70FB">
        <w:t>rozpočty</w:t>
      </w:r>
      <w:proofErr w:type="spellEnd"/>
      <w:r w:rsidR="00393655" w:rsidRPr="003D70FB">
        <w:t xml:space="preserve">. </w:t>
      </w:r>
      <w:r w:rsidR="000F29D8" w:rsidRPr="006832D4">
        <w:rPr>
          <w:b/>
        </w:rPr>
        <w:t>Náklady společnosti na řešení problémů spojených s demencí jsou odhadovány v průměru na 1 % HDP.</w:t>
      </w:r>
      <w:r w:rsidR="00393655" w:rsidRPr="006832D4">
        <w:rPr>
          <w:b/>
        </w:rPr>
        <w:t xml:space="preserve"> To při současné ekonomické výk</w:t>
      </w:r>
      <w:r w:rsidR="00AB54CB">
        <w:rPr>
          <w:b/>
        </w:rPr>
        <w:t>onnosti představuje 39 miliard k</w:t>
      </w:r>
      <w:r w:rsidR="00393655" w:rsidRPr="006832D4">
        <w:rPr>
          <w:b/>
        </w:rPr>
        <w:t>orun</w:t>
      </w:r>
      <w:r w:rsidRPr="00550290">
        <w:rPr>
          <w:vertAlign w:val="superscript"/>
        </w:rPr>
        <w:footnoteReference w:id="14"/>
      </w:r>
      <w:r w:rsidR="00393655">
        <w:t xml:space="preserve">, </w:t>
      </w:r>
      <w:proofErr w:type="spellStart"/>
      <w:r w:rsidR="00393655" w:rsidRPr="003D70FB">
        <w:t>celosvětové</w:t>
      </w:r>
      <w:proofErr w:type="spellEnd"/>
      <w:r w:rsidR="00393655" w:rsidRPr="003D70FB">
        <w:t xml:space="preserve"> náklady spojené s tímto </w:t>
      </w:r>
      <w:proofErr w:type="spellStart"/>
      <w:r w:rsidR="00393655" w:rsidRPr="003D70FB">
        <w:t>onemocněním</w:t>
      </w:r>
      <w:proofErr w:type="spellEnd"/>
      <w:r w:rsidR="00393655" w:rsidRPr="003D70FB">
        <w:t xml:space="preserve"> byly v roce 2010 odhadnuty na 604 miliard USD. Náklady na demenci jsou ve </w:t>
      </w:r>
      <w:proofErr w:type="spellStart"/>
      <w:r w:rsidR="00393655" w:rsidRPr="003D70FB">
        <w:t>vyspělejších</w:t>
      </w:r>
      <w:proofErr w:type="spellEnd"/>
      <w:r w:rsidR="00393655" w:rsidRPr="003D70FB">
        <w:t xml:space="preserve"> zemích </w:t>
      </w:r>
      <w:proofErr w:type="spellStart"/>
      <w:r w:rsidR="00393655" w:rsidRPr="003D70FB">
        <w:t>tvořeny</w:t>
      </w:r>
      <w:proofErr w:type="spellEnd"/>
      <w:r w:rsidR="00393655" w:rsidRPr="003D70FB">
        <w:t xml:space="preserve"> zejména náklady na neformální </w:t>
      </w:r>
      <w:proofErr w:type="spellStart"/>
      <w:r w:rsidR="00393655" w:rsidRPr="003D70FB">
        <w:t>péči</w:t>
      </w:r>
      <w:proofErr w:type="spellEnd"/>
      <w:r w:rsidR="00393655" w:rsidRPr="003D70FB">
        <w:t xml:space="preserve"> (45 %) a na profesionální sociální </w:t>
      </w:r>
      <w:proofErr w:type="spellStart"/>
      <w:r w:rsidR="00393655" w:rsidRPr="003D70FB">
        <w:t>péči</w:t>
      </w:r>
      <w:proofErr w:type="spellEnd"/>
      <w:r w:rsidR="00393655" w:rsidRPr="003D70FB">
        <w:t xml:space="preserve"> (40 %). Náklady na </w:t>
      </w:r>
      <w:proofErr w:type="spellStart"/>
      <w:r w:rsidR="00393655" w:rsidRPr="003D70FB">
        <w:t>lékařskou</w:t>
      </w:r>
      <w:proofErr w:type="spellEnd"/>
      <w:r w:rsidR="00393655" w:rsidRPr="003D70FB">
        <w:t xml:space="preserve"> </w:t>
      </w:r>
      <w:proofErr w:type="spellStart"/>
      <w:r w:rsidR="00393655" w:rsidRPr="003D70FB">
        <w:t>péči</w:t>
      </w:r>
      <w:proofErr w:type="spellEnd"/>
      <w:r w:rsidR="00393655" w:rsidRPr="003D70FB">
        <w:t xml:space="preserve"> </w:t>
      </w:r>
      <w:proofErr w:type="spellStart"/>
      <w:r w:rsidR="00393655" w:rsidRPr="003D70FB">
        <w:t>tvoří</w:t>
      </w:r>
      <w:proofErr w:type="spellEnd"/>
      <w:r w:rsidR="00393655" w:rsidRPr="003D70FB">
        <w:t xml:space="preserve"> mnohem menší podíl (15 %).</w:t>
      </w:r>
      <w:r w:rsidRPr="003D70FB">
        <w:t xml:space="preserve"> Tyto náklady jsou odhadovány zhruba ve výši 21 000 EUR za rok.</w:t>
      </w:r>
      <w:r w:rsidRPr="000B0C35">
        <w:rPr>
          <w:rFonts w:ascii="Arial" w:hAnsi="Arial" w:cs="Arial"/>
        </w:rPr>
        <w:t xml:space="preserve"> </w:t>
      </w:r>
      <w:r w:rsidR="00393655">
        <w:rPr>
          <w:rStyle w:val="FootnoteReference"/>
        </w:rPr>
        <w:footnoteReference w:id="15"/>
      </w:r>
    </w:p>
    <w:p w14:paraId="712A94C4" w14:textId="77777777" w:rsidR="003D70FB" w:rsidRPr="002D69AC" w:rsidRDefault="003D70FB" w:rsidP="002D69A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2D69AC">
        <w:rPr>
          <w:sz w:val="40"/>
          <w:szCs w:val="40"/>
        </w:rPr>
        <w:br w:type="page"/>
      </w:r>
    </w:p>
    <w:p w14:paraId="069688E2" w14:textId="13D3F1FC" w:rsidR="0013170B" w:rsidRDefault="0013170B" w:rsidP="0013170B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t>Závěr...</w:t>
      </w:r>
    </w:p>
    <w:p w14:paraId="251185F8" w14:textId="77777777" w:rsidR="00550290" w:rsidRDefault="00550290" w:rsidP="00550290">
      <w:r>
        <w:t xml:space="preserve">Zpráva o stavu demence pro rok 2014 se pokouší ilustrovat problém lidí s demencí na číslech a faktech. </w:t>
      </w:r>
    </w:p>
    <w:p w14:paraId="2C4D39F6" w14:textId="3D7655F3" w:rsidR="00550290" w:rsidRDefault="00550290" w:rsidP="00550290">
      <w:r>
        <w:t>Podle dostupných údajů žije v České republice 143 tisíc osob trpících demencí, což je méně než je obvyklé v zemích Evropské unie. Pokud bychom na tom byli jako průměr EU žilo by u nás 163 tisíc lidí trpících tímto onemocněním. Riziko onemocnění demencí narůstá s věkem a častěji postihuje ženy. Zatímco do 65 let věku trpí demencí každý 866</w:t>
      </w:r>
      <w:r w:rsidR="00AB54CB">
        <w:t>.</w:t>
      </w:r>
      <w:r>
        <w:t>, nad 65 let je to každý 13. V případě nejvyšších věkových kategorií nad 80 let věku pak každý pátý, nad 90 let pak dokonce téměř každý druhý. Lidí s demencí s ohledem na stárnutí populace neustále přibývá. Podle projekcí bude koncem letošního roku v ČR žít 154 tisíc lidí trpících demencí. Hranici 200 tisíc lidí s tímto onemocněním dosáhneme v roce 2023 a 300 tisíc v roce 2036.</w:t>
      </w:r>
    </w:p>
    <w:p w14:paraId="29B5550E" w14:textId="7FCC13BB" w:rsidR="00550290" w:rsidRDefault="00550290" w:rsidP="00550290">
      <w:r>
        <w:t>Dozvědět se více o tom, kdo se o potřebné stará a jaké služby jsou lidem s demencí poskytovány</w:t>
      </w:r>
      <w:r w:rsidR="00AB54CB">
        <w:t>,</w:t>
      </w:r>
      <w:r>
        <w:t xml:space="preserve"> je s ohledem na neexistující statistiky velmi obtížné. Část péče je poskytována prostřednictvím systému zdravotnictví, část prostřednictvím sociálních služeb. Podstatná část služeb je dále zajišťována na neformální bázi rodinnými příslušníky a dalšími pečovateli v domácnostech.  Standardizovaná data přitom ukazují, že přibližně čtvrtina (26 %) osob trpících demencí využívá ambulantní zdravotní péči, necelých 6 % zdravotní péči lůžkovou, pětina (19 %) osob trpících demencí bydlí v domovech pro seniory, více než 6 % pak v domovech se zvláštním režimem.</w:t>
      </w:r>
    </w:p>
    <w:p w14:paraId="2C8CC6E4" w14:textId="77777777" w:rsidR="00550290" w:rsidRDefault="00550290" w:rsidP="00550290">
      <w:r>
        <w:t xml:space="preserve">Speciální pozornost je přitom v letošním vydání věnována regionálním rozdílům. </w:t>
      </w:r>
      <w:r w:rsidRPr="00F77665">
        <w:t xml:space="preserve">S ohledem </w:t>
      </w:r>
      <w:r>
        <w:t>na celkový počet obyvatel je logické, že i největší počet lidí trpících demencí žije v Praze a to necelých 19 tisíc. V Jihomoravském kraji žije necelých 17 tisíc lidí s demencí, ve Středočeském kraji 16 tisíc a v Moravskoslezském kraji 15,8 tisíc lidí s tímto onemocněním. V jednotlivých krajích České republiky jsou přitom zcela zásadní rozdíly v objemu poskytované formální péče. Nejméně využívaná je zdravotní péče lidmi s demencí v Libereckém a Jihočeském kraji, nejvíce pak v kraji Moravskoslezském. Pobytová sociální péče je pak nejvíce využívána lidmi s demencí v Ústeckém kraji, nejméně pak v Praze. Rozdíly v tom, kolika lidem s demencí jsou poskytovány zdravotní služby, jsou mezi jednotlivými kraji dvojnásobné, v případě ambulantní péče až téměř trojnásobné. V případě pobytových sociálních služeb jsou pak rozdíly téměř pětinásobné.</w:t>
      </w:r>
    </w:p>
    <w:p w14:paraId="2FB6D346" w14:textId="37F49314" w:rsidR="00550290" w:rsidRPr="00162A5A" w:rsidRDefault="00550290" w:rsidP="00550290">
      <w:pPr>
        <w:rPr>
          <w:b/>
        </w:rPr>
      </w:pPr>
      <w:r>
        <w:t>Česká republika dosud nemá ucelený plán boje proti demenci a to i přesto, že se k jeho vytvoření vláda České republiky již před dvěma roky zavázala a že náklady spojené s</w:t>
      </w:r>
      <w:r w:rsidR="00AB54CB">
        <w:t> </w:t>
      </w:r>
      <w:r>
        <w:t>deme</w:t>
      </w:r>
      <w:r w:rsidR="00AB54CB">
        <w:t>ncí</w:t>
      </w:r>
      <w:bookmarkStart w:id="0" w:name="_GoBack"/>
      <w:bookmarkEnd w:id="0"/>
      <w:r w:rsidR="00AB54CB">
        <w:t xml:space="preserve"> jsou odhadovány 39 miliard k</w:t>
      </w:r>
      <w:r>
        <w:t>orun.</w:t>
      </w:r>
    </w:p>
    <w:p w14:paraId="5A71E683" w14:textId="7DC90D56" w:rsidR="00376294" w:rsidRDefault="00376294" w:rsidP="00550290"/>
    <w:sectPr w:rsidR="00376294" w:rsidSect="0038341D">
      <w:pgSz w:w="11900" w:h="16840"/>
      <w:pgMar w:top="1134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8642" w14:textId="77777777" w:rsidR="00D45003" w:rsidRDefault="00D45003" w:rsidP="00D3156B">
      <w:pPr>
        <w:spacing w:after="0" w:line="240" w:lineRule="auto"/>
      </w:pPr>
      <w:r>
        <w:separator/>
      </w:r>
    </w:p>
  </w:endnote>
  <w:endnote w:type="continuationSeparator" w:id="0">
    <w:p w14:paraId="4525ED16" w14:textId="77777777" w:rsidR="00D45003" w:rsidRDefault="00D45003" w:rsidP="00D3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5679" w14:textId="77777777" w:rsidR="00D45003" w:rsidRDefault="00D45003" w:rsidP="00D3156B">
      <w:pPr>
        <w:spacing w:after="0" w:line="240" w:lineRule="auto"/>
      </w:pPr>
      <w:r>
        <w:separator/>
      </w:r>
    </w:p>
  </w:footnote>
  <w:footnote w:type="continuationSeparator" w:id="0">
    <w:p w14:paraId="1670D13A" w14:textId="77777777" w:rsidR="00D45003" w:rsidRDefault="00D45003" w:rsidP="00D3156B">
      <w:pPr>
        <w:spacing w:after="0" w:line="240" w:lineRule="auto"/>
      </w:pPr>
      <w:r>
        <w:continuationSeparator/>
      </w:r>
    </w:p>
  </w:footnote>
  <w:footnote w:id="1">
    <w:p w14:paraId="2D6CFBB4" w14:textId="645F122B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4FC2">
        <w:rPr>
          <w:sz w:val="18"/>
          <w:szCs w:val="18"/>
        </w:rPr>
        <w:t xml:space="preserve">Analytický </w:t>
      </w:r>
      <w:r>
        <w:rPr>
          <w:sz w:val="18"/>
          <w:szCs w:val="18"/>
        </w:rPr>
        <w:t xml:space="preserve">doplněk vychází z totožného textu jako je samotné znění zprávy, který v určitých místech rozšiřuje. Namísto </w:t>
      </w:r>
      <w:proofErr w:type="spellStart"/>
      <w:r>
        <w:rPr>
          <w:sz w:val="18"/>
          <w:szCs w:val="18"/>
        </w:rPr>
        <w:t>infografik</w:t>
      </w:r>
      <w:proofErr w:type="spellEnd"/>
      <w:r>
        <w:rPr>
          <w:sz w:val="18"/>
          <w:szCs w:val="18"/>
        </w:rPr>
        <w:t xml:space="preserve"> současně akcentuje standardní prezentaci dat ve formě editovatelných a datově otevřených grafů.</w:t>
      </w:r>
    </w:p>
  </w:footnote>
  <w:footnote w:id="2">
    <w:p w14:paraId="06D8637B" w14:textId="4D9F8FED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272D">
        <w:rPr>
          <w:sz w:val="18"/>
          <w:szCs w:val="18"/>
        </w:rPr>
        <w:t>Mezinárodní klasifikace nemocí MKN 10 dostupná na www.uzis.cz/cz/mkn/index.html</w:t>
      </w:r>
    </w:p>
  </w:footnote>
  <w:footnote w:id="3">
    <w:p w14:paraId="06AE1C5F" w14:textId="6623586F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272D">
        <w:rPr>
          <w:sz w:val="18"/>
          <w:szCs w:val="18"/>
        </w:rPr>
        <w:t>Zdravotnická statistika</w:t>
      </w:r>
      <w:r>
        <w:rPr>
          <w:sz w:val="18"/>
          <w:szCs w:val="18"/>
        </w:rPr>
        <w:t xml:space="preserve"> využívá </w:t>
      </w:r>
      <w:r w:rsidRPr="0084272D">
        <w:rPr>
          <w:sz w:val="18"/>
          <w:szCs w:val="18"/>
        </w:rPr>
        <w:t>klasifikaci MKN-10, která má zajistit, aby ve všech členských státech Světové zdravotnické organizace byly nemoci, úrazy, příčiny smrti a další přidružené zdravotní problémy stejně vykazovány, stejně tříděny a tudíž byly mezinárodně srovnatelné. Demence jsou evidovány ve skupině F - Poruchy duševní a poruchy chování  (F00 - Demence u Alzheimerovy nemoci, F01 - Vaskulární demence, F02 - Demence u jiných nemocí zařazených jinde a F03 - Neurčená demence) a skupině G - Nemoci nervové soustavy (G30 - Alzheimerova nemoc).</w:t>
      </w:r>
    </w:p>
  </w:footnote>
  <w:footnote w:id="4">
    <w:p w14:paraId="74D7649E" w14:textId="77777777" w:rsidR="00D45003" w:rsidRPr="00E0511D" w:rsidRDefault="00D45003" w:rsidP="007336F1">
      <w:pPr>
        <w:pStyle w:val="FootnoteText"/>
        <w:rPr>
          <w:sz w:val="18"/>
          <w:szCs w:val="18"/>
        </w:rPr>
      </w:pPr>
      <w:r w:rsidRPr="00E0511D">
        <w:rPr>
          <w:rStyle w:val="FootnoteReference"/>
          <w:sz w:val="18"/>
          <w:szCs w:val="18"/>
        </w:rPr>
        <w:footnoteRef/>
      </w:r>
      <w:r w:rsidRPr="00E0511D">
        <w:rPr>
          <w:sz w:val="18"/>
          <w:szCs w:val="18"/>
        </w:rPr>
        <w:t xml:space="preserve"> Mátlová, M. (2009). Alzheimerova choroba jako evropská priorita. Zdravotnictví a medicína. Dostupné na </w:t>
      </w:r>
      <w:hyperlink r:id="rId1" w:history="1">
        <w:r w:rsidRPr="00E0511D">
          <w:rPr>
            <w:rStyle w:val="Hyperlink"/>
            <w:sz w:val="18"/>
            <w:szCs w:val="18"/>
          </w:rPr>
          <w:t>http://zdravi.e15.cz/clanek/priloha-lekarske-listy/alzheimerova-choroba-jako-evropska-priorita-447834</w:t>
        </w:r>
      </w:hyperlink>
      <w:r w:rsidRPr="00E0511D">
        <w:rPr>
          <w:sz w:val="18"/>
          <w:szCs w:val="18"/>
        </w:rPr>
        <w:t xml:space="preserve"> </w:t>
      </w:r>
    </w:p>
  </w:footnote>
  <w:footnote w:id="5">
    <w:p w14:paraId="063BF64A" w14:textId="77777777" w:rsidR="00D45003" w:rsidRPr="00D07D3F" w:rsidRDefault="00D45003" w:rsidP="007336F1">
      <w:pPr>
        <w:pStyle w:val="FootnoteText"/>
        <w:rPr>
          <w:sz w:val="18"/>
          <w:szCs w:val="18"/>
        </w:rPr>
      </w:pPr>
      <w:r w:rsidRPr="00D07D3F">
        <w:rPr>
          <w:rStyle w:val="FootnoteReference"/>
          <w:sz w:val="18"/>
          <w:szCs w:val="18"/>
        </w:rPr>
        <w:footnoteRef/>
      </w:r>
      <w:r w:rsidRPr="00D07D3F">
        <w:rPr>
          <w:sz w:val="18"/>
          <w:szCs w:val="18"/>
        </w:rPr>
        <w:t xml:space="preserve"> Odhadované počty se liší v závislosti na použitých prevalenčních studií.</w:t>
      </w:r>
    </w:p>
  </w:footnote>
  <w:footnote w:id="6">
    <w:p w14:paraId="45643625" w14:textId="77777777" w:rsidR="00D45003" w:rsidRPr="00D07D3F" w:rsidRDefault="00D45003" w:rsidP="007336F1">
      <w:pPr>
        <w:pStyle w:val="FootnoteText"/>
        <w:rPr>
          <w:sz w:val="18"/>
          <w:szCs w:val="18"/>
        </w:rPr>
      </w:pPr>
      <w:r w:rsidRPr="00D07D3F">
        <w:rPr>
          <w:rStyle w:val="FootnoteReference"/>
          <w:sz w:val="18"/>
          <w:szCs w:val="18"/>
        </w:rPr>
        <w:footnoteRef/>
      </w:r>
      <w:r w:rsidRPr="00D07D3F">
        <w:rPr>
          <w:sz w:val="18"/>
          <w:szCs w:val="18"/>
        </w:rPr>
        <w:t xml:space="preserve"> Střední varianta projekce </w:t>
      </w:r>
      <w:proofErr w:type="spellStart"/>
      <w:r w:rsidRPr="00D07D3F">
        <w:rPr>
          <w:sz w:val="18"/>
          <w:szCs w:val="18"/>
        </w:rPr>
        <w:t>Burcina</w:t>
      </w:r>
      <w:proofErr w:type="spellEnd"/>
      <w:r>
        <w:rPr>
          <w:sz w:val="18"/>
          <w:szCs w:val="18"/>
        </w:rPr>
        <w:t>, B.</w:t>
      </w:r>
      <w:r w:rsidRPr="00D07D3F">
        <w:rPr>
          <w:sz w:val="18"/>
          <w:szCs w:val="18"/>
        </w:rPr>
        <w:t xml:space="preserve"> a Kučery</w:t>
      </w:r>
      <w:r>
        <w:rPr>
          <w:sz w:val="18"/>
          <w:szCs w:val="18"/>
        </w:rPr>
        <w:t>, T</w:t>
      </w:r>
      <w:r w:rsidRPr="00D07D3F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F77665">
        <w:rPr>
          <w:sz w:val="18"/>
          <w:szCs w:val="18"/>
        </w:rPr>
        <w:t>Prognóza populačního vývoje České republiky na období 2008–2070</w:t>
      </w:r>
      <w:r>
        <w:rPr>
          <w:sz w:val="18"/>
          <w:szCs w:val="18"/>
        </w:rPr>
        <w:t>.</w:t>
      </w:r>
    </w:p>
  </w:footnote>
  <w:footnote w:id="7">
    <w:p w14:paraId="344AF1CD" w14:textId="69055DC3" w:rsidR="00D45003" w:rsidRPr="00A101B8" w:rsidRDefault="00D45003">
      <w:pPr>
        <w:pStyle w:val="FootnoteText"/>
        <w:rPr>
          <w:sz w:val="18"/>
          <w:szCs w:val="18"/>
        </w:rPr>
      </w:pPr>
      <w:r w:rsidRPr="00A101B8">
        <w:rPr>
          <w:rStyle w:val="FootnoteReference"/>
          <w:sz w:val="18"/>
          <w:szCs w:val="18"/>
        </w:rPr>
        <w:footnoteRef/>
      </w:r>
      <w:r w:rsidRPr="00A101B8">
        <w:rPr>
          <w:sz w:val="18"/>
          <w:szCs w:val="18"/>
        </w:rPr>
        <w:t xml:space="preserve"> V případě hospitalizovaných pacientů jsou sledovány počty hospitalizací, pacient přitom </w:t>
      </w:r>
      <w:proofErr w:type="spellStart"/>
      <w:r w:rsidRPr="00A101B8">
        <w:rPr>
          <w:sz w:val="18"/>
          <w:szCs w:val="18"/>
        </w:rPr>
        <w:t>může</w:t>
      </w:r>
      <w:proofErr w:type="spellEnd"/>
      <w:r w:rsidRPr="00A101B8">
        <w:rPr>
          <w:sz w:val="18"/>
          <w:szCs w:val="18"/>
        </w:rPr>
        <w:t xml:space="preserve"> být </w:t>
      </w:r>
      <w:proofErr w:type="spellStart"/>
      <w:r w:rsidRPr="00A101B8">
        <w:rPr>
          <w:sz w:val="18"/>
          <w:szCs w:val="18"/>
        </w:rPr>
        <w:t>během</w:t>
      </w:r>
      <w:proofErr w:type="spellEnd"/>
      <w:r w:rsidRPr="00A101B8">
        <w:rPr>
          <w:sz w:val="18"/>
          <w:szCs w:val="18"/>
        </w:rPr>
        <w:t xml:space="preserve"> sledovaného období hospitalizován vícekrát, čímž se </w:t>
      </w:r>
      <w:proofErr w:type="spellStart"/>
      <w:r w:rsidRPr="00A101B8">
        <w:rPr>
          <w:sz w:val="18"/>
          <w:szCs w:val="18"/>
        </w:rPr>
        <w:t>počet</w:t>
      </w:r>
      <w:proofErr w:type="spellEnd"/>
      <w:r w:rsidRPr="00A101B8">
        <w:rPr>
          <w:sz w:val="18"/>
          <w:szCs w:val="18"/>
        </w:rPr>
        <w:t xml:space="preserve"> hospitalizovaných osob a </w:t>
      </w:r>
      <w:proofErr w:type="spellStart"/>
      <w:r w:rsidRPr="00A101B8">
        <w:rPr>
          <w:sz w:val="18"/>
          <w:szCs w:val="18"/>
        </w:rPr>
        <w:t>počet</w:t>
      </w:r>
      <w:proofErr w:type="spellEnd"/>
      <w:r w:rsidRPr="00A101B8">
        <w:rPr>
          <w:sz w:val="18"/>
          <w:szCs w:val="18"/>
        </w:rPr>
        <w:t xml:space="preserve"> </w:t>
      </w:r>
      <w:proofErr w:type="spellStart"/>
      <w:r w:rsidRPr="00A101B8">
        <w:rPr>
          <w:sz w:val="18"/>
          <w:szCs w:val="18"/>
        </w:rPr>
        <w:t>případu</w:t>
      </w:r>
      <w:proofErr w:type="spellEnd"/>
      <w:r w:rsidRPr="00A101B8">
        <w:rPr>
          <w:sz w:val="18"/>
          <w:szCs w:val="18"/>
        </w:rPr>
        <w:t>̊ hospitalizace liší</w:t>
      </w:r>
      <w:r>
        <w:rPr>
          <w:sz w:val="18"/>
          <w:szCs w:val="18"/>
        </w:rPr>
        <w:t>.</w:t>
      </w:r>
      <w:r w:rsidRPr="00A101B8">
        <w:rPr>
          <w:sz w:val="18"/>
          <w:szCs w:val="18"/>
        </w:rPr>
        <w:t xml:space="preserve"> </w:t>
      </w:r>
    </w:p>
  </w:footnote>
  <w:footnote w:id="8">
    <w:p w14:paraId="3E84746A" w14:textId="7BE2D0BE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Jak již bylo uvedeno výše, v případě hospitalizací</w:t>
      </w:r>
      <w:r w:rsidRPr="00A101B8">
        <w:rPr>
          <w:sz w:val="18"/>
          <w:szCs w:val="18"/>
        </w:rPr>
        <w:t xml:space="preserve"> se nejedná o unikátní pacienty, protože </w:t>
      </w:r>
      <w:r>
        <w:rPr>
          <w:sz w:val="18"/>
          <w:szCs w:val="18"/>
        </w:rPr>
        <w:t>pacient mohl být hospitalizován vícekrát a</w:t>
      </w:r>
      <w:r w:rsidRPr="00A101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současně mu ve sledovaném období </w:t>
      </w:r>
      <w:r w:rsidRPr="00A101B8">
        <w:rPr>
          <w:sz w:val="18"/>
          <w:szCs w:val="18"/>
        </w:rPr>
        <w:t>mohla být poskytována</w:t>
      </w:r>
      <w:r>
        <w:rPr>
          <w:sz w:val="18"/>
          <w:szCs w:val="18"/>
        </w:rPr>
        <w:t xml:space="preserve"> také</w:t>
      </w:r>
      <w:r w:rsidRPr="00A101B8">
        <w:rPr>
          <w:sz w:val="18"/>
          <w:szCs w:val="18"/>
        </w:rPr>
        <w:t xml:space="preserve"> ambulantní péče</w:t>
      </w:r>
      <w:r>
        <w:rPr>
          <w:sz w:val="18"/>
          <w:szCs w:val="18"/>
        </w:rPr>
        <w:t xml:space="preserve">.  </w:t>
      </w:r>
      <w:r w:rsidRPr="00EA07A9">
        <w:rPr>
          <w:sz w:val="18"/>
          <w:szCs w:val="18"/>
        </w:rPr>
        <w:t xml:space="preserve">Současně je nutné upozornit, že pacienti v ambulantní </w:t>
      </w:r>
      <w:proofErr w:type="spellStart"/>
      <w:r w:rsidRPr="00EA07A9">
        <w:rPr>
          <w:sz w:val="18"/>
          <w:szCs w:val="18"/>
        </w:rPr>
        <w:t>péči</w:t>
      </w:r>
      <w:proofErr w:type="spellEnd"/>
      <w:r w:rsidRPr="00EA07A9">
        <w:rPr>
          <w:sz w:val="18"/>
          <w:szCs w:val="18"/>
        </w:rPr>
        <w:t xml:space="preserve"> jsou sledováni podle sídla zdravotnického </w:t>
      </w:r>
      <w:proofErr w:type="spellStart"/>
      <w:r w:rsidRPr="00EA07A9">
        <w:rPr>
          <w:sz w:val="18"/>
          <w:szCs w:val="18"/>
        </w:rPr>
        <w:t>zařízení</w:t>
      </w:r>
      <w:proofErr w:type="spellEnd"/>
      <w:r w:rsidRPr="00EA07A9">
        <w:rPr>
          <w:sz w:val="18"/>
          <w:szCs w:val="18"/>
        </w:rPr>
        <w:t xml:space="preserve">, nikoli podle jejich trvalého </w:t>
      </w:r>
      <w:proofErr w:type="spellStart"/>
      <w:r w:rsidRPr="00EA07A9">
        <w:rPr>
          <w:sz w:val="18"/>
          <w:szCs w:val="18"/>
        </w:rPr>
        <w:t>bydlište</w:t>
      </w:r>
      <w:proofErr w:type="spellEnd"/>
      <w:r w:rsidRPr="00EA07A9">
        <w:rPr>
          <w:sz w:val="18"/>
          <w:szCs w:val="18"/>
        </w:rPr>
        <w:t xml:space="preserve">̌. </w:t>
      </w:r>
      <w:r>
        <w:rPr>
          <w:sz w:val="18"/>
          <w:szCs w:val="18"/>
        </w:rPr>
        <w:t>D</w:t>
      </w:r>
      <w:r w:rsidRPr="00A101B8">
        <w:rPr>
          <w:sz w:val="18"/>
          <w:szCs w:val="18"/>
        </w:rPr>
        <w:t xml:space="preserve">ata tak nejsou </w:t>
      </w:r>
      <w:r>
        <w:rPr>
          <w:sz w:val="18"/>
          <w:szCs w:val="18"/>
        </w:rPr>
        <w:t xml:space="preserve">plně </w:t>
      </w:r>
      <w:r w:rsidRPr="00A101B8">
        <w:rPr>
          <w:sz w:val="18"/>
          <w:szCs w:val="18"/>
        </w:rPr>
        <w:t xml:space="preserve">srovnatelná a </w:t>
      </w:r>
      <w:proofErr w:type="spellStart"/>
      <w:r w:rsidRPr="00A101B8">
        <w:rPr>
          <w:sz w:val="18"/>
          <w:szCs w:val="18"/>
        </w:rPr>
        <w:t>agregovatelná</w:t>
      </w:r>
      <w:proofErr w:type="spellEnd"/>
      <w:r>
        <w:rPr>
          <w:sz w:val="18"/>
          <w:szCs w:val="18"/>
        </w:rPr>
        <w:t>, zmapované regionální rozdíly však zásadně neovlivní.</w:t>
      </w:r>
    </w:p>
  </w:footnote>
  <w:footnote w:id="9">
    <w:p w14:paraId="49BF4BC2" w14:textId="5FBEC9C9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Vaň</w:t>
      </w:r>
      <w:r w:rsidRPr="00681B2E">
        <w:rPr>
          <w:sz w:val="18"/>
          <w:szCs w:val="18"/>
        </w:rPr>
        <w:t>kov</w:t>
      </w:r>
      <w:r>
        <w:rPr>
          <w:sz w:val="18"/>
          <w:szCs w:val="18"/>
        </w:rPr>
        <w:t>á</w:t>
      </w:r>
      <w:r w:rsidRPr="00681B2E">
        <w:rPr>
          <w:sz w:val="18"/>
          <w:szCs w:val="18"/>
        </w:rPr>
        <w:t xml:space="preserve"> H.  et al. Prevalence kognitivních poruch v pobytových zařízeních pro seniory. Geriatrie a Gerontologie. 2013;2(3):111-4.</w:t>
      </w:r>
    </w:p>
  </w:footnote>
  <w:footnote w:id="10">
    <w:p w14:paraId="46D20877" w14:textId="77777777" w:rsidR="00D45003" w:rsidRDefault="00D45003" w:rsidP="00681B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0C30">
        <w:rPr>
          <w:sz w:val="18"/>
          <w:szCs w:val="18"/>
        </w:rPr>
        <w:t>Dostupné údaje MPSV se váží pouze k incidenci, nikoliv prevalenci demence, a to navíc pouze k Alzheimerově nemoci. Z těchto dat tak nelze vyvodit relevantní závěr, kolik potřebných pobírá finanční dávku – příspěvek na péči.</w:t>
      </w:r>
    </w:p>
  </w:footnote>
  <w:footnote w:id="11">
    <w:p w14:paraId="35DAF020" w14:textId="5830985B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1CFE">
        <w:rPr>
          <w:sz w:val="18"/>
          <w:szCs w:val="18"/>
        </w:rPr>
        <w:t xml:space="preserve">Alzheimer </w:t>
      </w:r>
      <w:proofErr w:type="spellStart"/>
      <w:r w:rsidRPr="001A1CFE">
        <w:rPr>
          <w:sz w:val="18"/>
          <w:szCs w:val="18"/>
        </w:rPr>
        <w:t>Europe</w:t>
      </w:r>
      <w:proofErr w:type="spellEnd"/>
      <w:r w:rsidRPr="001A1CFE">
        <w:rPr>
          <w:sz w:val="18"/>
          <w:szCs w:val="18"/>
        </w:rPr>
        <w:t xml:space="preserve">. 2013. </w:t>
      </w:r>
      <w:proofErr w:type="spellStart"/>
      <w:r w:rsidRPr="001A1CFE">
        <w:rPr>
          <w:sz w:val="18"/>
          <w:szCs w:val="18"/>
        </w:rPr>
        <w:t>Dementia</w:t>
      </w:r>
      <w:proofErr w:type="spellEnd"/>
      <w:r w:rsidRPr="001A1CFE">
        <w:rPr>
          <w:sz w:val="18"/>
          <w:szCs w:val="18"/>
        </w:rPr>
        <w:t xml:space="preserve"> in </w:t>
      </w:r>
      <w:proofErr w:type="spellStart"/>
      <w:r w:rsidRPr="001A1CFE">
        <w:rPr>
          <w:sz w:val="18"/>
          <w:szCs w:val="18"/>
        </w:rPr>
        <w:t>Europe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Yearbook</w:t>
      </w:r>
      <w:proofErr w:type="spellEnd"/>
      <w:r w:rsidRPr="001A1CFE">
        <w:rPr>
          <w:sz w:val="18"/>
          <w:szCs w:val="18"/>
        </w:rPr>
        <w:t xml:space="preserve"> 2013: </w:t>
      </w:r>
      <w:proofErr w:type="spellStart"/>
      <w:r w:rsidRPr="001A1CFE">
        <w:rPr>
          <w:sz w:val="18"/>
          <w:szCs w:val="18"/>
        </w:rPr>
        <w:t>National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Policies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Covering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the</w:t>
      </w:r>
      <w:proofErr w:type="spellEnd"/>
      <w:r w:rsidRPr="001A1CFE">
        <w:rPr>
          <w:sz w:val="18"/>
          <w:szCs w:val="18"/>
        </w:rPr>
        <w:t xml:space="preserve"> Care and Support </w:t>
      </w:r>
      <w:proofErr w:type="spellStart"/>
      <w:r w:rsidRPr="001A1CFE">
        <w:rPr>
          <w:sz w:val="18"/>
          <w:szCs w:val="18"/>
        </w:rPr>
        <w:t>of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People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with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Dementia</w:t>
      </w:r>
      <w:proofErr w:type="spellEnd"/>
      <w:r w:rsidRPr="001A1CFE">
        <w:rPr>
          <w:sz w:val="18"/>
          <w:szCs w:val="18"/>
        </w:rPr>
        <w:t xml:space="preserve"> and </w:t>
      </w:r>
      <w:proofErr w:type="spellStart"/>
      <w:r w:rsidRPr="001A1CFE">
        <w:rPr>
          <w:sz w:val="18"/>
          <w:szCs w:val="18"/>
        </w:rPr>
        <w:t>their</w:t>
      </w:r>
      <w:proofErr w:type="spellEnd"/>
      <w:r w:rsidRPr="001A1CFE">
        <w:rPr>
          <w:sz w:val="18"/>
          <w:szCs w:val="18"/>
        </w:rPr>
        <w:t xml:space="preserve"> </w:t>
      </w:r>
      <w:proofErr w:type="spellStart"/>
      <w:r w:rsidRPr="001A1CFE">
        <w:rPr>
          <w:sz w:val="18"/>
          <w:szCs w:val="18"/>
        </w:rPr>
        <w:t>Carers</w:t>
      </w:r>
      <w:proofErr w:type="spellEnd"/>
      <w:r w:rsidRPr="001A1CFE">
        <w:rPr>
          <w:sz w:val="18"/>
          <w:szCs w:val="18"/>
        </w:rPr>
        <w:t>.</w:t>
      </w:r>
    </w:p>
  </w:footnote>
  <w:footnote w:id="12">
    <w:p w14:paraId="0A8573CF" w14:textId="0B5F7DBD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5935">
        <w:rPr>
          <w:sz w:val="18"/>
          <w:szCs w:val="18"/>
        </w:rPr>
        <w:t xml:space="preserve">Georges J, Jansen S, Jackson J, </w:t>
      </w:r>
      <w:proofErr w:type="spellStart"/>
      <w:r w:rsidRPr="00DE5935">
        <w:rPr>
          <w:sz w:val="18"/>
          <w:szCs w:val="18"/>
        </w:rPr>
        <w:t>Meyrieux</w:t>
      </w:r>
      <w:proofErr w:type="spellEnd"/>
      <w:r w:rsidRPr="00DE5935">
        <w:rPr>
          <w:sz w:val="18"/>
          <w:szCs w:val="18"/>
        </w:rPr>
        <w:t xml:space="preserve"> A, </w:t>
      </w:r>
      <w:proofErr w:type="spellStart"/>
      <w:r w:rsidRPr="00DE5935">
        <w:rPr>
          <w:sz w:val="18"/>
          <w:szCs w:val="18"/>
        </w:rPr>
        <w:t>Sadowska</w:t>
      </w:r>
      <w:proofErr w:type="spellEnd"/>
      <w:r w:rsidRPr="00DE5935">
        <w:rPr>
          <w:sz w:val="18"/>
          <w:szCs w:val="18"/>
        </w:rPr>
        <w:t xml:space="preserve"> A, </w:t>
      </w:r>
      <w:proofErr w:type="spellStart"/>
      <w:r w:rsidRPr="00DE5935">
        <w:rPr>
          <w:sz w:val="18"/>
          <w:szCs w:val="18"/>
        </w:rPr>
        <w:t>Selmes</w:t>
      </w:r>
      <w:proofErr w:type="spellEnd"/>
      <w:r w:rsidRPr="00DE5935">
        <w:rPr>
          <w:sz w:val="18"/>
          <w:szCs w:val="18"/>
        </w:rPr>
        <w:t xml:space="preserve"> M : Alzheimer’s disease in real life – the dementia carer’s survey. International Journal of Geriatric Psychiatry, 23, 2008, 546-551</w:t>
      </w:r>
    </w:p>
  </w:footnote>
  <w:footnote w:id="13">
    <w:p w14:paraId="726D69E7" w14:textId="2FAB6774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2DDD">
        <w:rPr>
          <w:sz w:val="18"/>
          <w:szCs w:val="18"/>
        </w:rPr>
        <w:t xml:space="preserve">O tom, že se jednalo o turbulentní dobu plnou změn svědčí i </w:t>
      </w:r>
      <w:r>
        <w:rPr>
          <w:sz w:val="18"/>
          <w:szCs w:val="18"/>
        </w:rPr>
        <w:t xml:space="preserve">úsměvný </w:t>
      </w:r>
      <w:r w:rsidRPr="00DC2DDD">
        <w:rPr>
          <w:sz w:val="18"/>
          <w:szCs w:val="18"/>
        </w:rPr>
        <w:t>text z předkládací zprávy: „Materiál, který byl připraven pro jednání vlády, se Ministerstvu zdravotnictví vrátil z MPSV bez podpisu pana ministra (...práce...) J. Drábka zřejmě i v souvislosti s tím, že současně v té době došlo k odvolání ministra spravedlnosti.“</w:t>
      </w:r>
    </w:p>
  </w:footnote>
  <w:footnote w:id="14">
    <w:p w14:paraId="45DDF18C" w14:textId="733172B8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70FB">
        <w:rPr>
          <w:sz w:val="18"/>
          <w:szCs w:val="18"/>
        </w:rPr>
        <w:t>Ve srovnání s tím jsou odhadované výdaje zdravotních pojišťoven na Alzheimerovu</w:t>
      </w:r>
      <w:r w:rsidR="00AB54CB">
        <w:rPr>
          <w:sz w:val="18"/>
          <w:szCs w:val="18"/>
        </w:rPr>
        <w:t xml:space="preserve"> nemoc ve výši cca 430 milionů k</w:t>
      </w:r>
      <w:r w:rsidRPr="003D70FB">
        <w:rPr>
          <w:sz w:val="18"/>
          <w:szCs w:val="18"/>
        </w:rPr>
        <w:t>orun v roce 2010 poměrně zanedbatelnou položkou.</w:t>
      </w:r>
    </w:p>
  </w:footnote>
  <w:footnote w:id="15">
    <w:p w14:paraId="35C7775C" w14:textId="18604C53" w:rsidR="00D45003" w:rsidRDefault="00D45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3655">
        <w:rPr>
          <w:sz w:val="18"/>
          <w:szCs w:val="18"/>
        </w:rPr>
        <w:t xml:space="preserve">ÚZIS ČR (2012). </w:t>
      </w:r>
      <w:hyperlink r:id="rId2" w:history="1">
        <w:r w:rsidRPr="00393655">
          <w:rPr>
            <w:sz w:val="18"/>
            <w:szCs w:val="18"/>
          </w:rPr>
          <w:t>Demence: priorita pro systém zdravotnictví (zpráva WHO)</w:t>
        </w:r>
      </w:hyperlink>
      <w:r w:rsidRPr="00393655">
        <w:rPr>
          <w:sz w:val="18"/>
          <w:szCs w:val="18"/>
        </w:rPr>
        <w:t xml:space="preserve"> Aktuální informace č. 63/2012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E8B40B8"/>
    <w:multiLevelType w:val="hybridMultilevel"/>
    <w:tmpl w:val="CBDE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70D32"/>
    <w:multiLevelType w:val="hybridMultilevel"/>
    <w:tmpl w:val="EECCB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6B"/>
    <w:rsid w:val="000254E5"/>
    <w:rsid w:val="00027BCA"/>
    <w:rsid w:val="000860B6"/>
    <w:rsid w:val="00091C87"/>
    <w:rsid w:val="000B06B4"/>
    <w:rsid w:val="000B0C35"/>
    <w:rsid w:val="000B4635"/>
    <w:rsid w:val="000C1D28"/>
    <w:rsid w:val="000D3656"/>
    <w:rsid w:val="000F29D8"/>
    <w:rsid w:val="000F5852"/>
    <w:rsid w:val="000F6B77"/>
    <w:rsid w:val="0013170B"/>
    <w:rsid w:val="0015684F"/>
    <w:rsid w:val="00156FB7"/>
    <w:rsid w:val="001A1CFE"/>
    <w:rsid w:val="001B69D7"/>
    <w:rsid w:val="001F1B9F"/>
    <w:rsid w:val="0023449A"/>
    <w:rsid w:val="0027693B"/>
    <w:rsid w:val="002D69AC"/>
    <w:rsid w:val="002F194D"/>
    <w:rsid w:val="003054CF"/>
    <w:rsid w:val="00310C30"/>
    <w:rsid w:val="003205A0"/>
    <w:rsid w:val="00333B3A"/>
    <w:rsid w:val="00344254"/>
    <w:rsid w:val="0037434D"/>
    <w:rsid w:val="00376294"/>
    <w:rsid w:val="0038341D"/>
    <w:rsid w:val="00393655"/>
    <w:rsid w:val="003B1B89"/>
    <w:rsid w:val="003D70FB"/>
    <w:rsid w:val="003E0FD3"/>
    <w:rsid w:val="003E7291"/>
    <w:rsid w:val="00424873"/>
    <w:rsid w:val="00447A18"/>
    <w:rsid w:val="004F1E7A"/>
    <w:rsid w:val="00501042"/>
    <w:rsid w:val="00513CAB"/>
    <w:rsid w:val="00543C94"/>
    <w:rsid w:val="00550290"/>
    <w:rsid w:val="00560C2C"/>
    <w:rsid w:val="00580BE5"/>
    <w:rsid w:val="0058386E"/>
    <w:rsid w:val="005A1CD3"/>
    <w:rsid w:val="0061266F"/>
    <w:rsid w:val="00612B2B"/>
    <w:rsid w:val="00640C3B"/>
    <w:rsid w:val="006573AA"/>
    <w:rsid w:val="00681B2E"/>
    <w:rsid w:val="006832D4"/>
    <w:rsid w:val="0069383D"/>
    <w:rsid w:val="006E61DD"/>
    <w:rsid w:val="00727171"/>
    <w:rsid w:val="007336F1"/>
    <w:rsid w:val="00795C61"/>
    <w:rsid w:val="007E513A"/>
    <w:rsid w:val="00816807"/>
    <w:rsid w:val="0084272D"/>
    <w:rsid w:val="008545BB"/>
    <w:rsid w:val="00867EA3"/>
    <w:rsid w:val="008A3A93"/>
    <w:rsid w:val="008F4FC2"/>
    <w:rsid w:val="0095461F"/>
    <w:rsid w:val="009E762B"/>
    <w:rsid w:val="00A101B8"/>
    <w:rsid w:val="00A429D8"/>
    <w:rsid w:val="00AB54CB"/>
    <w:rsid w:val="00AE41F7"/>
    <w:rsid w:val="00B14829"/>
    <w:rsid w:val="00B453CE"/>
    <w:rsid w:val="00B54B71"/>
    <w:rsid w:val="00BC4470"/>
    <w:rsid w:val="00BD7DDF"/>
    <w:rsid w:val="00C15103"/>
    <w:rsid w:val="00C40B1E"/>
    <w:rsid w:val="00CA4A1B"/>
    <w:rsid w:val="00CF0DEC"/>
    <w:rsid w:val="00D060A2"/>
    <w:rsid w:val="00D067AD"/>
    <w:rsid w:val="00D3156B"/>
    <w:rsid w:val="00D45003"/>
    <w:rsid w:val="00D46508"/>
    <w:rsid w:val="00D57A84"/>
    <w:rsid w:val="00D72F37"/>
    <w:rsid w:val="00DC2DDD"/>
    <w:rsid w:val="00DE47E5"/>
    <w:rsid w:val="00DE4800"/>
    <w:rsid w:val="00DE5935"/>
    <w:rsid w:val="00E50F71"/>
    <w:rsid w:val="00EA07A9"/>
    <w:rsid w:val="00EC2147"/>
    <w:rsid w:val="00EF2CE1"/>
    <w:rsid w:val="00F27C42"/>
    <w:rsid w:val="00F324D0"/>
    <w:rsid w:val="00F43971"/>
    <w:rsid w:val="00F82CF2"/>
    <w:rsid w:val="00FE32CC"/>
    <w:rsid w:val="00FF19F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0091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6B"/>
    <w:pPr>
      <w:spacing w:after="200" w:line="276" w:lineRule="auto"/>
    </w:pPr>
    <w:rPr>
      <w:rFonts w:eastAsiaTheme="minorHAnsi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D3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styleId="Hyperlink">
    <w:name w:val="Hyperlink"/>
    <w:basedOn w:val="DefaultParagraphFont"/>
    <w:uiPriority w:val="99"/>
    <w:unhideWhenUsed/>
    <w:rsid w:val="00D3156B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D3156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56B"/>
    <w:rPr>
      <w:rFonts w:eastAsiaTheme="minorHAnsi"/>
      <w:lang w:val="cs-CZ"/>
    </w:rPr>
  </w:style>
  <w:style w:type="character" w:styleId="FootnoteReference">
    <w:name w:val="footnote reference"/>
    <w:basedOn w:val="DefaultParagraphFont"/>
    <w:unhideWhenUsed/>
    <w:rsid w:val="00D315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5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6B"/>
    <w:rPr>
      <w:rFonts w:ascii="Lucida Grande" w:eastAsiaTheme="minorHAnsi" w:hAnsi="Lucida Grande" w:cs="Lucida Grande"/>
      <w:sz w:val="18"/>
      <w:szCs w:val="18"/>
      <w:lang w:val="cs-CZ"/>
    </w:rPr>
  </w:style>
  <w:style w:type="table" w:styleId="TableGrid">
    <w:name w:val="Table Grid"/>
    <w:basedOn w:val="TableNormal"/>
    <w:rsid w:val="00F4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36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F1"/>
    <w:rPr>
      <w:rFonts w:eastAsiaTheme="minorHAnsi"/>
      <w:lang w:val="cs-CZ"/>
    </w:rPr>
  </w:style>
  <w:style w:type="paragraph" w:styleId="ListParagraph">
    <w:name w:val="List Paragraph"/>
    <w:basedOn w:val="Normal"/>
    <w:uiPriority w:val="34"/>
    <w:qFormat/>
    <w:rsid w:val="00795C61"/>
    <w:pPr>
      <w:ind w:left="720"/>
      <w:contextualSpacing/>
    </w:pPr>
  </w:style>
  <w:style w:type="paragraph" w:styleId="BodyText">
    <w:name w:val="Body Text"/>
    <w:aliases w:val="Základní text Char Char Char"/>
    <w:basedOn w:val="Normal"/>
    <w:link w:val="BodyTextChar"/>
    <w:rsid w:val="00DE5935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DE5935"/>
    <w:rPr>
      <w:rFonts w:ascii="Arial" w:eastAsia="Times New Roman" w:hAnsi="Arial" w:cs="Times New Roman"/>
      <w:sz w:val="20"/>
      <w:lang w:val="cs-CZ" w:eastAsia="cs-CZ"/>
    </w:rPr>
  </w:style>
  <w:style w:type="paragraph" w:styleId="Caption">
    <w:name w:val="caption"/>
    <w:basedOn w:val="Normal"/>
    <w:next w:val="Normal"/>
    <w:qFormat/>
    <w:rsid w:val="00DE5935"/>
    <w:pPr>
      <w:spacing w:after="0" w:line="36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7E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6B"/>
    <w:pPr>
      <w:spacing w:after="200" w:line="276" w:lineRule="auto"/>
    </w:pPr>
    <w:rPr>
      <w:rFonts w:eastAsiaTheme="minorHAnsi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D3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styleId="Hyperlink">
    <w:name w:val="Hyperlink"/>
    <w:basedOn w:val="DefaultParagraphFont"/>
    <w:uiPriority w:val="99"/>
    <w:unhideWhenUsed/>
    <w:rsid w:val="00D3156B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D3156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56B"/>
    <w:rPr>
      <w:rFonts w:eastAsiaTheme="minorHAnsi"/>
      <w:lang w:val="cs-CZ"/>
    </w:rPr>
  </w:style>
  <w:style w:type="character" w:styleId="FootnoteReference">
    <w:name w:val="footnote reference"/>
    <w:basedOn w:val="DefaultParagraphFont"/>
    <w:unhideWhenUsed/>
    <w:rsid w:val="00D315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5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6B"/>
    <w:rPr>
      <w:rFonts w:ascii="Lucida Grande" w:eastAsiaTheme="minorHAnsi" w:hAnsi="Lucida Grande" w:cs="Lucida Grande"/>
      <w:sz w:val="18"/>
      <w:szCs w:val="18"/>
      <w:lang w:val="cs-CZ"/>
    </w:rPr>
  </w:style>
  <w:style w:type="table" w:styleId="TableGrid">
    <w:name w:val="Table Grid"/>
    <w:basedOn w:val="TableNormal"/>
    <w:rsid w:val="00F43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36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F1"/>
    <w:rPr>
      <w:rFonts w:eastAsiaTheme="minorHAnsi"/>
      <w:lang w:val="cs-CZ"/>
    </w:rPr>
  </w:style>
  <w:style w:type="paragraph" w:styleId="ListParagraph">
    <w:name w:val="List Paragraph"/>
    <w:basedOn w:val="Normal"/>
    <w:uiPriority w:val="34"/>
    <w:qFormat/>
    <w:rsid w:val="00795C61"/>
    <w:pPr>
      <w:ind w:left="720"/>
      <w:contextualSpacing/>
    </w:pPr>
  </w:style>
  <w:style w:type="paragraph" w:styleId="BodyText">
    <w:name w:val="Body Text"/>
    <w:aliases w:val="Základní text Char Char Char"/>
    <w:basedOn w:val="Normal"/>
    <w:link w:val="BodyTextChar"/>
    <w:rsid w:val="00DE5935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DE5935"/>
    <w:rPr>
      <w:rFonts w:ascii="Arial" w:eastAsia="Times New Roman" w:hAnsi="Arial" w:cs="Times New Roman"/>
      <w:sz w:val="20"/>
      <w:lang w:val="cs-CZ" w:eastAsia="cs-CZ"/>
    </w:rPr>
  </w:style>
  <w:style w:type="paragraph" w:styleId="Caption">
    <w:name w:val="caption"/>
    <w:basedOn w:val="Normal"/>
    <w:next w:val="Normal"/>
    <w:qFormat/>
    <w:rsid w:val="00DE5935"/>
    <w:pPr>
      <w:spacing w:after="0" w:line="36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7E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chart" Target="charts/chart2.xml"/><Relationship Id="rId21" Type="http://schemas.openxmlformats.org/officeDocument/2006/relationships/chart" Target="charts/chart3.xml"/><Relationship Id="rId22" Type="http://schemas.openxmlformats.org/officeDocument/2006/relationships/chart" Target="charts/chart4.xml"/><Relationship Id="rId23" Type="http://schemas.openxmlformats.org/officeDocument/2006/relationships/chart" Target="charts/chart5.xml"/><Relationship Id="rId24" Type="http://schemas.openxmlformats.org/officeDocument/2006/relationships/chart" Target="charts/chart6.xml"/><Relationship Id="rId25" Type="http://schemas.openxmlformats.org/officeDocument/2006/relationships/chart" Target="charts/chart7.xml"/><Relationship Id="rId26" Type="http://schemas.openxmlformats.org/officeDocument/2006/relationships/chart" Target="charts/chart8.xml"/><Relationship Id="rId27" Type="http://schemas.openxmlformats.org/officeDocument/2006/relationships/chart" Target="charts/chart9.xml"/><Relationship Id="rId28" Type="http://schemas.openxmlformats.org/officeDocument/2006/relationships/chart" Target="charts/chart10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chart" Target="charts/chart12.xml"/><Relationship Id="rId31" Type="http://schemas.openxmlformats.org/officeDocument/2006/relationships/chart" Target="charts/chart13.xml"/><Relationship Id="rId32" Type="http://schemas.openxmlformats.org/officeDocument/2006/relationships/chart" Target="charts/chart14.xml"/><Relationship Id="rId9" Type="http://schemas.openxmlformats.org/officeDocument/2006/relationships/diagramData" Target="diagrams/data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chart" Target="charts/chart15.xml"/><Relationship Id="rId34" Type="http://schemas.openxmlformats.org/officeDocument/2006/relationships/image" Target="media/image1.jpeg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chart" Target="charts/chart1.xml"/><Relationship Id="rId15" Type="http://schemas.openxmlformats.org/officeDocument/2006/relationships/diagramData" Target="diagrams/data2.xml"/><Relationship Id="rId16" Type="http://schemas.openxmlformats.org/officeDocument/2006/relationships/diagramLayout" Target="diagrams/layout2.xml"/><Relationship Id="rId17" Type="http://schemas.openxmlformats.org/officeDocument/2006/relationships/diagramQuickStyle" Target="diagrams/quickStyle2.xml"/><Relationship Id="rId18" Type="http://schemas.openxmlformats.org/officeDocument/2006/relationships/diagramColors" Target="diagrams/colors2.xml"/><Relationship Id="rId19" Type="http://schemas.microsoft.com/office/2007/relationships/diagramDrawing" Target="diagrams/drawing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dravi.e15.cz/clanek/priloha-lekarske-listy/alzheimerova-choroba-jako-evropska-priorita-447834" TargetMode="External"/><Relationship Id="rId2" Type="http://schemas.openxmlformats.org/officeDocument/2006/relationships/hyperlink" Target="http://www.uzis.cz/rychle-informace/demence-priorita-pro-system-zdravotnictvi-zprava-wh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pple:Desktop:_Demence:Dataset%20Demence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0145404636920386"/>
                  <c:y val="0.16156350247885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00532961504811898"/>
                  <c:y val="0.02854695246427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0660194663167104"/>
                  <c:y val="0.1761526684164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Sheet1!$A$1:$A$6</c:f>
              <c:strCache>
                <c:ptCount val="6"/>
                <c:pt idx="0">
                  <c:v>Alzheimerova nemoc</c:v>
                </c:pt>
                <c:pt idx="1">
                  <c:v>vaskulární demence</c:v>
                </c:pt>
                <c:pt idx="2">
                  <c:v>smíšené demence</c:v>
                </c:pt>
                <c:pt idx="3">
                  <c:v>Parkinsonova nemoc</c:v>
                </c:pt>
                <c:pt idx="4">
                  <c:v>jiné degenerativní onemocnění mozku</c:v>
                </c:pt>
                <c:pt idx="5">
                  <c:v>ostatní vzácnější příčiny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0.56</c:v>
                </c:pt>
                <c:pt idx="1">
                  <c:v>0.14</c:v>
                </c:pt>
                <c:pt idx="2">
                  <c:v>0.12</c:v>
                </c:pt>
                <c:pt idx="3">
                  <c:v>0.08</c:v>
                </c:pt>
                <c:pt idx="4">
                  <c:v>0.04</c:v>
                </c:pt>
                <c:pt idx="5">
                  <c:v>0.0599999999999999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221160542432196"/>
                  <c:y val="0.1388888888888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281762795275591"/>
                  <c:y val="0.032407407407407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22899168853893"/>
                  <c:y val="0.01388888888888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'Nabidka sluzeb'!$A$44:$A$51</c:f>
              <c:strCache>
                <c:ptCount val="8"/>
                <c:pt idx="0">
                  <c:v>Fakultní nemocnice</c:v>
                </c:pt>
                <c:pt idx="1">
                  <c:v>Nemocnice</c:v>
                </c:pt>
                <c:pt idx="2">
                  <c:v>Nemocnice následné péče</c:v>
                </c:pt>
                <c:pt idx="3">
                  <c:v>Léčebny dlouhodobě nemocných</c:v>
                </c:pt>
                <c:pt idx="4">
                  <c:v>Psychiatrické léčebny</c:v>
                </c:pt>
                <c:pt idx="5">
                  <c:v>Ostatní léčebné ústavy</c:v>
                </c:pt>
                <c:pt idx="6">
                  <c:v>Hospic</c:v>
                </c:pt>
                <c:pt idx="7">
                  <c:v>Ostatní lůžková zařízení</c:v>
                </c:pt>
              </c:strCache>
            </c:strRef>
          </c:cat>
          <c:val>
            <c:numRef>
              <c:f>'Nabidka sluzeb'!$B$44:$B$51</c:f>
              <c:numCache>
                <c:formatCode>General</c:formatCode>
                <c:ptCount val="8"/>
                <c:pt idx="0">
                  <c:v>1172.0</c:v>
                </c:pt>
                <c:pt idx="1">
                  <c:v>4580.0</c:v>
                </c:pt>
                <c:pt idx="2">
                  <c:v>407.0</c:v>
                </c:pt>
                <c:pt idx="3">
                  <c:v>1754.0</c:v>
                </c:pt>
                <c:pt idx="4">
                  <c:v>6064.0</c:v>
                </c:pt>
                <c:pt idx="5">
                  <c:v>240.0</c:v>
                </c:pt>
                <c:pt idx="6">
                  <c:v>105.0</c:v>
                </c:pt>
                <c:pt idx="7">
                  <c:v>66.0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25590551181"/>
          <c:y val="0.0601851851851852"/>
          <c:w val="0.816772965879265"/>
          <c:h val="0.729876786235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'Nabidka sluzeb'!$B$75</c:f>
              <c:strCache>
                <c:ptCount val="1"/>
                <c:pt idx="0">
                  <c:v>Počet hospitalizací</c:v>
                </c:pt>
              </c:strCache>
            </c:strRef>
          </c:tx>
          <c:invertIfNegative val="0"/>
          <c:cat>
            <c:numRef>
              <c:f>'Nabidka sluzeb'!$A$76:$A$80</c:f>
              <c:numCache>
                <c:formatCode>General</c:formatCode>
                <c:ptCount val="5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</c:numCache>
            </c:numRef>
          </c:cat>
          <c:val>
            <c:numRef>
              <c:f>'Nabidka sluzeb'!$B$76:$B$80</c:f>
              <c:numCache>
                <c:formatCode>General</c:formatCode>
                <c:ptCount val="5"/>
                <c:pt idx="0">
                  <c:v>7363.0</c:v>
                </c:pt>
                <c:pt idx="1">
                  <c:v>7907.0</c:v>
                </c:pt>
                <c:pt idx="2">
                  <c:v>7981.0</c:v>
                </c:pt>
                <c:pt idx="3">
                  <c:v>8493.0</c:v>
                </c:pt>
                <c:pt idx="4">
                  <c:v>8669.0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017352"/>
        <c:axId val="2087665992"/>
      </c:barChart>
      <c:lineChart>
        <c:grouping val="standard"/>
        <c:varyColors val="0"/>
        <c:ser>
          <c:idx val="1"/>
          <c:order val="1"/>
          <c:tx>
            <c:strRef>
              <c:f>'Nabidka sluzeb'!$C$75</c:f>
              <c:strCache>
                <c:ptCount val="1"/>
                <c:pt idx="0">
                  <c:v>Průměrná ošetřovací doba</c:v>
                </c:pt>
              </c:strCache>
            </c:strRef>
          </c:tx>
          <c:marker>
            <c:symbol val="none"/>
          </c:marker>
          <c:cat>
            <c:numRef>
              <c:f>'Nabidka sluzeb'!$A$76:$A$80</c:f>
              <c:numCache>
                <c:formatCode>General</c:formatCode>
                <c:ptCount val="5"/>
                <c:pt idx="0">
                  <c:v>2008.0</c:v>
                </c:pt>
                <c:pt idx="1">
                  <c:v>2009.0</c:v>
                </c:pt>
                <c:pt idx="2">
                  <c:v>2010.0</c:v>
                </c:pt>
                <c:pt idx="3">
                  <c:v>2011.0</c:v>
                </c:pt>
                <c:pt idx="4">
                  <c:v>2012.0</c:v>
                </c:pt>
              </c:numCache>
            </c:numRef>
          </c:cat>
          <c:val>
            <c:numRef>
              <c:f>'Nabidka sluzeb'!$C$76:$C$80</c:f>
              <c:numCache>
                <c:formatCode>General</c:formatCode>
                <c:ptCount val="5"/>
                <c:pt idx="0">
                  <c:v>93.7</c:v>
                </c:pt>
                <c:pt idx="1">
                  <c:v>79.0</c:v>
                </c:pt>
                <c:pt idx="2">
                  <c:v>81.5</c:v>
                </c:pt>
                <c:pt idx="3">
                  <c:v>78.5</c:v>
                </c:pt>
                <c:pt idx="4">
                  <c:v>78.3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9398280"/>
        <c:axId val="2137567944"/>
      </c:lineChart>
      <c:catAx>
        <c:axId val="2126017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87665992"/>
        <c:crosses val="autoZero"/>
        <c:auto val="1"/>
        <c:lblAlgn val="ctr"/>
        <c:lblOffset val="100"/>
        <c:noMultiLvlLbl val="0"/>
      </c:catAx>
      <c:valAx>
        <c:axId val="2087665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6017352"/>
        <c:crosses val="autoZero"/>
        <c:crossBetween val="between"/>
      </c:valAx>
      <c:valAx>
        <c:axId val="21375679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129398280"/>
        <c:crosses val="max"/>
        <c:crossBetween val="between"/>
      </c:valAx>
      <c:catAx>
        <c:axId val="2129398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3756794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"/>
          <c:y val="0.902010061242345"/>
          <c:w val="1.0"/>
          <c:h val="0.094128025663458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612423447069"/>
          <c:y val="0.0553191489361702"/>
          <c:w val="0.763877157400779"/>
          <c:h val="0.751716535433071"/>
        </c:manualLayout>
      </c:layout>
      <c:lineChart>
        <c:grouping val="standard"/>
        <c:varyColors val="0"/>
        <c:ser>
          <c:idx val="0"/>
          <c:order val="0"/>
          <c:tx>
            <c:strRef>
              <c:f>'Nabidka sluzeb'!$B$28</c:f>
              <c:strCache>
                <c:ptCount val="1"/>
                <c:pt idx="0">
                  <c:v>Počet lidí s demencí</c:v>
                </c:pt>
              </c:strCache>
            </c:strRef>
          </c:tx>
          <c:cat>
            <c:strRef>
              <c:f>'Nabidka sluzeb'!$A$29:$A$34</c:f>
              <c:strCache>
                <c:ptCount val="6"/>
                <c:pt idx="0">
                  <c:v>30 - 59</c:v>
                </c:pt>
                <c:pt idx="1">
                  <c:v>60 - 64</c:v>
                </c:pt>
                <c:pt idx="2">
                  <c:v>65 - 69</c:v>
                </c:pt>
                <c:pt idx="3">
                  <c:v>70 - 74</c:v>
                </c:pt>
                <c:pt idx="4">
                  <c:v>75 -79</c:v>
                </c:pt>
                <c:pt idx="5">
                  <c:v>80+</c:v>
                </c:pt>
              </c:strCache>
            </c:strRef>
          </c:cat>
          <c:val>
            <c:numRef>
              <c:f>'Nabidka sluzeb'!$B$29:$B$34</c:f>
              <c:numCache>
                <c:formatCode>_(* #,##0_);_(* \(#,##0\);_(* "-"??_);_(@_)</c:formatCode>
                <c:ptCount val="6"/>
                <c:pt idx="0">
                  <c:v>5818.0</c:v>
                </c:pt>
                <c:pt idx="1">
                  <c:v>4289.0</c:v>
                </c:pt>
                <c:pt idx="2">
                  <c:v>9164.0</c:v>
                </c:pt>
                <c:pt idx="3">
                  <c:v>13178.0</c:v>
                </c:pt>
                <c:pt idx="4">
                  <c:v>22714.0</c:v>
                </c:pt>
                <c:pt idx="5">
                  <c:v>88147.0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7395784"/>
        <c:axId val="2125746280"/>
      </c:lineChart>
      <c:lineChart>
        <c:grouping val="standard"/>
        <c:varyColors val="0"/>
        <c:ser>
          <c:idx val="2"/>
          <c:order val="1"/>
          <c:tx>
            <c:strRef>
              <c:f>'Nabidka sluzeb'!$D$28</c:f>
              <c:strCache>
                <c:ptCount val="1"/>
                <c:pt idx="0">
                  <c:v>Počet hospitalizací</c:v>
                </c:pt>
              </c:strCache>
            </c:strRef>
          </c:tx>
          <c:cat>
            <c:strRef>
              <c:f>'Nabidka sluzeb'!$A$29:$A$34</c:f>
              <c:strCache>
                <c:ptCount val="6"/>
                <c:pt idx="0">
                  <c:v>30 - 59</c:v>
                </c:pt>
                <c:pt idx="1">
                  <c:v>60 - 64</c:v>
                </c:pt>
                <c:pt idx="2">
                  <c:v>65 - 69</c:v>
                </c:pt>
                <c:pt idx="3">
                  <c:v>70 - 74</c:v>
                </c:pt>
                <c:pt idx="4">
                  <c:v>75 -79</c:v>
                </c:pt>
                <c:pt idx="5">
                  <c:v>80+</c:v>
                </c:pt>
              </c:strCache>
            </c:strRef>
          </c:cat>
          <c:val>
            <c:numRef>
              <c:f>'Nabidka sluzeb'!$D$29:$D$34</c:f>
              <c:numCache>
                <c:formatCode>_(* #,##0_);_(* \(#,##0\);_(* "-"??_);_(@_)</c:formatCode>
                <c:ptCount val="6"/>
                <c:pt idx="0">
                  <c:v>1586.21334</c:v>
                </c:pt>
                <c:pt idx="1">
                  <c:v>290.383065</c:v>
                </c:pt>
                <c:pt idx="2">
                  <c:v>651.765725</c:v>
                </c:pt>
                <c:pt idx="3">
                  <c:v>928.111982</c:v>
                </c:pt>
                <c:pt idx="4">
                  <c:v>1551.803274</c:v>
                </c:pt>
                <c:pt idx="5">
                  <c:v>5087.823206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9415336"/>
        <c:axId val="2137907208"/>
      </c:lineChart>
      <c:catAx>
        <c:axId val="2137395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25746280"/>
        <c:crosses val="autoZero"/>
        <c:auto val="1"/>
        <c:lblAlgn val="ctr"/>
        <c:lblOffset val="100"/>
        <c:noMultiLvlLbl val="0"/>
      </c:catAx>
      <c:valAx>
        <c:axId val="2125746280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crossAx val="2137395784"/>
        <c:crosses val="autoZero"/>
        <c:crossBetween val="between"/>
      </c:valAx>
      <c:valAx>
        <c:axId val="2137907208"/>
        <c:scaling>
          <c:orientation val="minMax"/>
        </c:scaling>
        <c:delete val="0"/>
        <c:axPos val="r"/>
        <c:numFmt formatCode="_(* #,##0_);_(* \(#,##0\);_(* &quot;-&quot;??_);_(@_)" sourceLinked="1"/>
        <c:majorTickMark val="out"/>
        <c:minorTickMark val="none"/>
        <c:tickLblPos val="nextTo"/>
        <c:crossAx val="2129415336"/>
        <c:crosses val="max"/>
        <c:crossBetween val="between"/>
      </c:valAx>
      <c:catAx>
        <c:axId val="2129415336"/>
        <c:scaling>
          <c:orientation val="minMax"/>
        </c:scaling>
        <c:delete val="1"/>
        <c:axPos val="b"/>
        <c:majorTickMark val="out"/>
        <c:minorTickMark val="none"/>
        <c:tickLblPos val="nextTo"/>
        <c:crossAx val="213790720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0192853734192317"/>
          <c:y val="0.852485843524878"/>
          <c:w val="0.998071462658077"/>
          <c:h val="0.14609214273747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'Nabidka sluzeb'!$H$61</c:f>
              <c:strCache>
                <c:ptCount val="1"/>
                <c:pt idx="0">
                  <c:v>Hospitalizace </c:v>
                </c:pt>
              </c:strCache>
            </c:strRef>
          </c:tx>
          <c:invertIfNegative val="0"/>
          <c:cat>
            <c:strRef>
              <c:f>'Nabidka sluzeb'!$G$62:$G$76</c:f>
              <c:strCache>
                <c:ptCount val="15"/>
                <c:pt idx="0">
                  <c:v>HlMP</c:v>
                </c:pt>
                <c:pt idx="1">
                  <c:v>STČ</c:v>
                </c:pt>
                <c:pt idx="2">
                  <c:v>JIČ</c:v>
                </c:pt>
                <c:pt idx="3">
                  <c:v>PLZ</c:v>
                </c:pt>
                <c:pt idx="4">
                  <c:v>KVA</c:v>
                </c:pt>
                <c:pt idx="5">
                  <c:v>ÚST</c:v>
                </c:pt>
                <c:pt idx="6">
                  <c:v>LIB</c:v>
                </c:pt>
                <c:pt idx="7">
                  <c:v>KHR</c:v>
                </c:pt>
                <c:pt idx="8">
                  <c:v>PAR</c:v>
                </c:pt>
                <c:pt idx="9">
                  <c:v>VYS</c:v>
                </c:pt>
                <c:pt idx="10">
                  <c:v>JIM</c:v>
                </c:pt>
                <c:pt idx="11">
                  <c:v>OLM</c:v>
                </c:pt>
                <c:pt idx="12">
                  <c:v>ZLN</c:v>
                </c:pt>
                <c:pt idx="13">
                  <c:v>MSL</c:v>
                </c:pt>
                <c:pt idx="14">
                  <c:v>Průměr ČR</c:v>
                </c:pt>
              </c:strCache>
            </c:strRef>
          </c:cat>
          <c:val>
            <c:numRef>
              <c:f>'Nabidka sluzeb'!$H$62:$H$76</c:f>
              <c:numCache>
                <c:formatCode>0%</c:formatCode>
                <c:ptCount val="15"/>
                <c:pt idx="0">
                  <c:v>0.0658902519470422</c:v>
                </c:pt>
                <c:pt idx="1">
                  <c:v>0.0563941065595953</c:v>
                </c:pt>
                <c:pt idx="2">
                  <c:v>0.0386811636122878</c:v>
                </c:pt>
                <c:pt idx="3">
                  <c:v>0.0555746072330768</c:v>
                </c:pt>
                <c:pt idx="4">
                  <c:v>0.0687734155545534</c:v>
                </c:pt>
                <c:pt idx="5">
                  <c:v>0.0530470593584031</c:v>
                </c:pt>
                <c:pt idx="6">
                  <c:v>0.0552811165493311</c:v>
                </c:pt>
                <c:pt idx="7">
                  <c:v>0.0617992958653797</c:v>
                </c:pt>
                <c:pt idx="8">
                  <c:v>0.0574023113671061</c:v>
                </c:pt>
                <c:pt idx="9">
                  <c:v>0.0768311299710434</c:v>
                </c:pt>
                <c:pt idx="10">
                  <c:v>0.047802310762361</c:v>
                </c:pt>
                <c:pt idx="11">
                  <c:v>0.0778312024015517</c:v>
                </c:pt>
                <c:pt idx="12">
                  <c:v>0.057939723590477</c:v>
                </c:pt>
                <c:pt idx="13">
                  <c:v>0.0753742274987812</c:v>
                </c:pt>
                <c:pt idx="14">
                  <c:v>0.0604706236131463</c:v>
                </c:pt>
              </c:numCache>
            </c:numRef>
          </c:val>
        </c:ser>
        <c:ser>
          <c:idx val="1"/>
          <c:order val="1"/>
          <c:tx>
            <c:strRef>
              <c:f>'Nabidka sluzeb'!$I$61</c:f>
              <c:strCache>
                <c:ptCount val="1"/>
                <c:pt idx="0">
                  <c:v>Ambulantní péče</c:v>
                </c:pt>
              </c:strCache>
            </c:strRef>
          </c:tx>
          <c:invertIfNegative val="0"/>
          <c:cat>
            <c:strRef>
              <c:f>'Nabidka sluzeb'!$G$62:$G$76</c:f>
              <c:strCache>
                <c:ptCount val="15"/>
                <c:pt idx="0">
                  <c:v>HlMP</c:v>
                </c:pt>
                <c:pt idx="1">
                  <c:v>STČ</c:v>
                </c:pt>
                <c:pt idx="2">
                  <c:v>JIČ</c:v>
                </c:pt>
                <c:pt idx="3">
                  <c:v>PLZ</c:v>
                </c:pt>
                <c:pt idx="4">
                  <c:v>KVA</c:v>
                </c:pt>
                <c:pt idx="5">
                  <c:v>ÚST</c:v>
                </c:pt>
                <c:pt idx="6">
                  <c:v>LIB</c:v>
                </c:pt>
                <c:pt idx="7">
                  <c:v>KHR</c:v>
                </c:pt>
                <c:pt idx="8">
                  <c:v>PAR</c:v>
                </c:pt>
                <c:pt idx="9">
                  <c:v>VYS</c:v>
                </c:pt>
                <c:pt idx="10">
                  <c:v>JIM</c:v>
                </c:pt>
                <c:pt idx="11">
                  <c:v>OLM</c:v>
                </c:pt>
                <c:pt idx="12">
                  <c:v>ZLN</c:v>
                </c:pt>
                <c:pt idx="13">
                  <c:v>MSL</c:v>
                </c:pt>
                <c:pt idx="14">
                  <c:v>Průměr ČR</c:v>
                </c:pt>
              </c:strCache>
            </c:strRef>
          </c:cat>
          <c:val>
            <c:numRef>
              <c:f>'Nabidka sluzeb'!$I$62:$I$76</c:f>
              <c:numCache>
                <c:formatCode>0%</c:formatCode>
                <c:ptCount val="15"/>
                <c:pt idx="0">
                  <c:v>0.288110385830611</c:v>
                </c:pt>
                <c:pt idx="1">
                  <c:v>0.246514570292809</c:v>
                </c:pt>
                <c:pt idx="2">
                  <c:v>0.159946275368973</c:v>
                </c:pt>
                <c:pt idx="3">
                  <c:v>0.326285648107241</c:v>
                </c:pt>
                <c:pt idx="4">
                  <c:v>0.26815687296559</c:v>
                </c:pt>
                <c:pt idx="5">
                  <c:v>0.272330935167944</c:v>
                </c:pt>
                <c:pt idx="6">
                  <c:v>0.128674843995543</c:v>
                </c:pt>
                <c:pt idx="7">
                  <c:v>0.199198743315603</c:v>
                </c:pt>
                <c:pt idx="8">
                  <c:v>0.302960003389052</c:v>
                </c:pt>
                <c:pt idx="9">
                  <c:v>0.260471727471267</c:v>
                </c:pt>
                <c:pt idx="10">
                  <c:v>0.21789747495363</c:v>
                </c:pt>
                <c:pt idx="11">
                  <c:v>0.226824030200119</c:v>
                </c:pt>
                <c:pt idx="12">
                  <c:v>0.255142076520086</c:v>
                </c:pt>
                <c:pt idx="13">
                  <c:v>0.337782862799648</c:v>
                </c:pt>
                <c:pt idx="14">
                  <c:v>0.255606726676436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457272"/>
        <c:axId val="2106530104"/>
      </c:barChart>
      <c:catAx>
        <c:axId val="2107457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106530104"/>
        <c:crosses val="autoZero"/>
        <c:auto val="1"/>
        <c:lblAlgn val="ctr"/>
        <c:lblOffset val="100"/>
        <c:noMultiLvlLbl val="0"/>
      </c:catAx>
      <c:valAx>
        <c:axId val="2106530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07457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00834615208882"/>
          <c:y val="0.0601851851851852"/>
          <c:w val="0.660026614782436"/>
          <c:h val="0.6853288130650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Sheet1!$B$59</c:f>
              <c:strCache>
                <c:ptCount val="1"/>
                <c:pt idx="0">
                  <c:v>Domovy pro seniory</c:v>
                </c:pt>
              </c:strCache>
            </c:strRef>
          </c:tx>
          <c:invertIfNegative val="0"/>
          <c:cat>
            <c:strRef>
              <c:f>Sheet1!$A$60:$A$74</c:f>
              <c:strCache>
                <c:ptCount val="15"/>
                <c:pt idx="0">
                  <c:v>HlMP</c:v>
                </c:pt>
                <c:pt idx="1">
                  <c:v>STČ</c:v>
                </c:pt>
                <c:pt idx="2">
                  <c:v>JIČ</c:v>
                </c:pt>
                <c:pt idx="3">
                  <c:v>PLZ</c:v>
                </c:pt>
                <c:pt idx="4">
                  <c:v>KVA</c:v>
                </c:pt>
                <c:pt idx="5">
                  <c:v>ÚST</c:v>
                </c:pt>
                <c:pt idx="6">
                  <c:v>LIB</c:v>
                </c:pt>
                <c:pt idx="7">
                  <c:v>KHR</c:v>
                </c:pt>
                <c:pt idx="8">
                  <c:v>PAR</c:v>
                </c:pt>
                <c:pt idx="9">
                  <c:v>VYS</c:v>
                </c:pt>
                <c:pt idx="10">
                  <c:v>JIM</c:v>
                </c:pt>
                <c:pt idx="11">
                  <c:v>OLM</c:v>
                </c:pt>
                <c:pt idx="12">
                  <c:v>ZLN</c:v>
                </c:pt>
                <c:pt idx="13">
                  <c:v>MSL</c:v>
                </c:pt>
                <c:pt idx="14">
                  <c:v>Průměr ČR</c:v>
                </c:pt>
              </c:strCache>
            </c:strRef>
          </c:cat>
          <c:val>
            <c:numRef>
              <c:f>Sheet1!$B$60:$B$74</c:f>
              <c:numCache>
                <c:formatCode>0%</c:formatCode>
                <c:ptCount val="15"/>
                <c:pt idx="0">
                  <c:v>0.0914724129878152</c:v>
                </c:pt>
                <c:pt idx="1">
                  <c:v>0.221549883144197</c:v>
                </c:pt>
                <c:pt idx="2">
                  <c:v>0.228072741022514</c:v>
                </c:pt>
                <c:pt idx="3">
                  <c:v>0.157798490162209</c:v>
                </c:pt>
                <c:pt idx="4">
                  <c:v>0.127456603497318</c:v>
                </c:pt>
                <c:pt idx="5">
                  <c:v>0.331270032254498</c:v>
                </c:pt>
                <c:pt idx="6">
                  <c:v>0.107911323466494</c:v>
                </c:pt>
                <c:pt idx="7">
                  <c:v>0.212798102034707</c:v>
                </c:pt>
                <c:pt idx="8">
                  <c:v>0.237395356361013</c:v>
                </c:pt>
                <c:pt idx="9">
                  <c:v>0.216807194247902</c:v>
                </c:pt>
                <c:pt idx="10">
                  <c:v>0.10687098649315</c:v>
                </c:pt>
                <c:pt idx="11">
                  <c:v>0.21977919522965</c:v>
                </c:pt>
                <c:pt idx="12">
                  <c:v>0.219536215785607</c:v>
                </c:pt>
                <c:pt idx="13">
                  <c:v>0.216122750077413</c:v>
                </c:pt>
                <c:pt idx="14">
                  <c:v>0.187511269276394</c:v>
                </c:pt>
              </c:numCache>
            </c:numRef>
          </c:val>
        </c:ser>
        <c:ser>
          <c:idx val="1"/>
          <c:order val="1"/>
          <c:tx>
            <c:strRef>
              <c:f>Sheet1!$C$59</c:f>
              <c:strCache>
                <c:ptCount val="1"/>
                <c:pt idx="0">
                  <c:v>Domovy se zvláštním režimem</c:v>
                </c:pt>
              </c:strCache>
            </c:strRef>
          </c:tx>
          <c:invertIfNegative val="0"/>
          <c:cat>
            <c:strRef>
              <c:f>Sheet1!$A$60:$A$74</c:f>
              <c:strCache>
                <c:ptCount val="15"/>
                <c:pt idx="0">
                  <c:v>HlMP</c:v>
                </c:pt>
                <c:pt idx="1">
                  <c:v>STČ</c:v>
                </c:pt>
                <c:pt idx="2">
                  <c:v>JIČ</c:v>
                </c:pt>
                <c:pt idx="3">
                  <c:v>PLZ</c:v>
                </c:pt>
                <c:pt idx="4">
                  <c:v>KVA</c:v>
                </c:pt>
                <c:pt idx="5">
                  <c:v>ÚST</c:v>
                </c:pt>
                <c:pt idx="6">
                  <c:v>LIB</c:v>
                </c:pt>
                <c:pt idx="7">
                  <c:v>KHR</c:v>
                </c:pt>
                <c:pt idx="8">
                  <c:v>PAR</c:v>
                </c:pt>
                <c:pt idx="9">
                  <c:v>VYS</c:v>
                </c:pt>
                <c:pt idx="10">
                  <c:v>JIM</c:v>
                </c:pt>
                <c:pt idx="11">
                  <c:v>OLM</c:v>
                </c:pt>
                <c:pt idx="12">
                  <c:v>ZLN</c:v>
                </c:pt>
                <c:pt idx="13">
                  <c:v>MSL</c:v>
                </c:pt>
                <c:pt idx="14">
                  <c:v>Průměr ČR</c:v>
                </c:pt>
              </c:strCache>
            </c:strRef>
          </c:cat>
          <c:val>
            <c:numRef>
              <c:f>Sheet1!$C$60:$C$74</c:f>
              <c:numCache>
                <c:formatCode>0%</c:formatCode>
                <c:ptCount val="15"/>
                <c:pt idx="0">
                  <c:v>0.0113336766627952</c:v>
                </c:pt>
                <c:pt idx="1">
                  <c:v>0.0654823595925371</c:v>
                </c:pt>
                <c:pt idx="2">
                  <c:v>0.034373403606791</c:v>
                </c:pt>
                <c:pt idx="3">
                  <c:v>0.0675457319337992</c:v>
                </c:pt>
                <c:pt idx="4">
                  <c:v>0.0563950321614369</c:v>
                </c:pt>
                <c:pt idx="5">
                  <c:v>0.14270468988872</c:v>
                </c:pt>
                <c:pt idx="6">
                  <c:v>0.07441373311011</c:v>
                </c:pt>
                <c:pt idx="7">
                  <c:v>0.0472371477484304</c:v>
                </c:pt>
                <c:pt idx="8">
                  <c:v>0.0581250802476525</c:v>
                </c:pt>
                <c:pt idx="9">
                  <c:v>0.0566630474520383</c:v>
                </c:pt>
                <c:pt idx="10">
                  <c:v>0.111186315459224</c:v>
                </c:pt>
                <c:pt idx="11">
                  <c:v>0.032666680863385</c:v>
                </c:pt>
                <c:pt idx="12">
                  <c:v>0.0641418628123121</c:v>
                </c:pt>
                <c:pt idx="13">
                  <c:v>0.0703566480542554</c:v>
                </c:pt>
                <c:pt idx="14">
                  <c:v>0.0638810969227548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6125912"/>
        <c:axId val="2086765624"/>
      </c:barChart>
      <c:catAx>
        <c:axId val="2126125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086765624"/>
        <c:crosses val="autoZero"/>
        <c:auto val="1"/>
        <c:lblAlgn val="ctr"/>
        <c:lblOffset val="100"/>
        <c:noMultiLvlLbl val="0"/>
      </c:catAx>
      <c:valAx>
        <c:axId val="2086765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26125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870231042203"/>
          <c:y val="0.285002551764363"/>
          <c:w val="0.218787409189905"/>
          <c:h val="0.30036526684164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25590551181"/>
          <c:y val="0.0601851851851852"/>
          <c:w val="0.876295275590551"/>
          <c:h val="0.7128634441528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Sheet1!$B$18</c:f>
              <c:strCache>
                <c:ptCount val="1"/>
                <c:pt idx="0">
                  <c:v>Demence u Alzheimerovy nemoci</c:v>
                </c:pt>
              </c:strCache>
            </c:strRef>
          </c:tx>
          <c:invertIfNegative val="0"/>
          <c:cat>
            <c:strRef>
              <c:f>Sheet1!$C$17:$G$17</c:f>
              <c:strCache>
                <c:ptCount val="5"/>
                <c:pt idx="0">
                  <c:v>I. stupeň</c:v>
                </c:pt>
                <c:pt idx="1">
                  <c:v>II. stupeň</c:v>
                </c:pt>
                <c:pt idx="2">
                  <c:v>III. stupeň</c:v>
                </c:pt>
                <c:pt idx="3">
                  <c:v>IV. stupeň</c:v>
                </c:pt>
                <c:pt idx="4">
                  <c:v>Neuznáno</c:v>
                </c:pt>
              </c:strCache>
            </c:strRef>
          </c:cat>
          <c:val>
            <c:numRef>
              <c:f>Sheet1!$C$18:$G$18</c:f>
              <c:numCache>
                <c:formatCode>General</c:formatCode>
                <c:ptCount val="5"/>
                <c:pt idx="0">
                  <c:v>276.0</c:v>
                </c:pt>
                <c:pt idx="1">
                  <c:v>426.0</c:v>
                </c:pt>
                <c:pt idx="2">
                  <c:v>543.0</c:v>
                </c:pt>
                <c:pt idx="3">
                  <c:v>489.0</c:v>
                </c:pt>
                <c:pt idx="4">
                  <c:v>63.0</c:v>
                </c:pt>
              </c:numCache>
            </c:numRef>
          </c:val>
        </c:ser>
        <c:ser>
          <c:idx val="1"/>
          <c:order val="1"/>
          <c:tx>
            <c:strRef>
              <c:f>Sheet1!$B$19</c:f>
              <c:strCache>
                <c:ptCount val="1"/>
                <c:pt idx="0">
                  <c:v>Alzheimerova nemoc</c:v>
                </c:pt>
              </c:strCache>
            </c:strRef>
          </c:tx>
          <c:invertIfNegative val="0"/>
          <c:cat>
            <c:strRef>
              <c:f>Sheet1!$C$17:$G$17</c:f>
              <c:strCache>
                <c:ptCount val="5"/>
                <c:pt idx="0">
                  <c:v>I. stupeň</c:v>
                </c:pt>
                <c:pt idx="1">
                  <c:v>II. stupeň</c:v>
                </c:pt>
                <c:pt idx="2">
                  <c:v>III. stupeň</c:v>
                </c:pt>
                <c:pt idx="3">
                  <c:v>IV. stupeň</c:v>
                </c:pt>
                <c:pt idx="4">
                  <c:v>Neuznáno</c:v>
                </c:pt>
              </c:strCache>
            </c:strRef>
          </c:cat>
          <c:val>
            <c:numRef>
              <c:f>Sheet1!$C$19:$G$19</c:f>
              <c:numCache>
                <c:formatCode>General</c:formatCode>
                <c:ptCount val="5"/>
                <c:pt idx="0">
                  <c:v>388.0</c:v>
                </c:pt>
                <c:pt idx="1">
                  <c:v>622.0</c:v>
                </c:pt>
                <c:pt idx="2">
                  <c:v>820.0</c:v>
                </c:pt>
                <c:pt idx="3">
                  <c:v>771.0</c:v>
                </c:pt>
                <c:pt idx="4">
                  <c:v>97.0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85202568"/>
        <c:axId val="2085205544"/>
      </c:barChart>
      <c:catAx>
        <c:axId val="2085202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85205544"/>
        <c:crosses val="autoZero"/>
        <c:auto val="1"/>
        <c:lblAlgn val="ctr"/>
        <c:lblOffset val="100"/>
        <c:noMultiLvlLbl val="0"/>
      </c:catAx>
      <c:valAx>
        <c:axId val="2085205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5202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30883639545243E-5"/>
          <c:y val="0.883491542723826"/>
          <c:w val="0.999956911636045"/>
          <c:h val="0.098757655293088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tx1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Prevalence!$Z$4:$Z$11</c:f>
              <c:strCache>
                <c:ptCount val="8"/>
                <c:pt idx="0">
                  <c:v>Asie</c:v>
                </c:pt>
                <c:pt idx="1">
                  <c:v>Evropa</c:v>
                </c:pt>
                <c:pt idx="2">
                  <c:v>Západní Evropa</c:v>
                </c:pt>
                <c:pt idx="3">
                  <c:v>Střední Evropa</c:v>
                </c:pt>
                <c:pt idx="4">
                  <c:v>Východní Evropa</c:v>
                </c:pt>
                <c:pt idx="5">
                  <c:v>Amerika</c:v>
                </c:pt>
                <c:pt idx="6">
                  <c:v>Afrika</c:v>
                </c:pt>
                <c:pt idx="7">
                  <c:v>Svět</c:v>
                </c:pt>
              </c:strCache>
            </c:strRef>
          </c:cat>
          <c:val>
            <c:numRef>
              <c:f>Prevalence!$AA$4:$AA$11</c:f>
              <c:numCache>
                <c:formatCode>0.0%</c:formatCode>
                <c:ptCount val="8"/>
                <c:pt idx="0">
                  <c:v>0.039</c:v>
                </c:pt>
                <c:pt idx="1">
                  <c:v>0.062</c:v>
                </c:pt>
                <c:pt idx="2">
                  <c:v>0.072</c:v>
                </c:pt>
                <c:pt idx="3">
                  <c:v>0.047</c:v>
                </c:pt>
                <c:pt idx="4">
                  <c:v>0.048</c:v>
                </c:pt>
                <c:pt idx="5">
                  <c:v>0.065</c:v>
                </c:pt>
                <c:pt idx="6">
                  <c:v>0.026</c:v>
                </c:pt>
                <c:pt idx="7">
                  <c:v>0.047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7585624"/>
        <c:axId val="2137588600"/>
      </c:barChart>
      <c:catAx>
        <c:axId val="2137585624"/>
        <c:scaling>
          <c:orientation val="minMax"/>
        </c:scaling>
        <c:delete val="0"/>
        <c:axPos val="l"/>
        <c:majorTickMark val="out"/>
        <c:minorTickMark val="none"/>
        <c:tickLblPos val="nextTo"/>
        <c:crossAx val="2137588600"/>
        <c:crosses val="autoZero"/>
        <c:auto val="1"/>
        <c:lblAlgn val="ctr"/>
        <c:lblOffset val="100"/>
        <c:noMultiLvlLbl val="0"/>
      </c:catAx>
      <c:valAx>
        <c:axId val="213758860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137585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4"/>
            <c:invertIfNegative val="0"/>
            <c:bubble3D val="0"/>
            <c:spPr>
              <a:solidFill>
                <a:schemeClr val="tx1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Prevalence!$G$2:$G$30</c:f>
              <c:strCache>
                <c:ptCount val="29"/>
                <c:pt idx="0">
                  <c:v>Kypr</c:v>
                </c:pt>
                <c:pt idx="1">
                  <c:v>Slovensko</c:v>
                </c:pt>
                <c:pt idx="2">
                  <c:v>Irsko</c:v>
                </c:pt>
                <c:pt idx="3">
                  <c:v>Malta</c:v>
                </c:pt>
                <c:pt idx="4">
                  <c:v>Rumunsko</c:v>
                </c:pt>
                <c:pt idx="5">
                  <c:v>Polsko</c:v>
                </c:pt>
                <c:pt idx="6">
                  <c:v>Luxembursko</c:v>
                </c:pt>
                <c:pt idx="7">
                  <c:v>Česká republika</c:v>
                </c:pt>
                <c:pt idx="8">
                  <c:v>Lotyšsko</c:v>
                </c:pt>
                <c:pt idx="9">
                  <c:v>Nizozemí</c:v>
                </c:pt>
                <c:pt idx="10">
                  <c:v>Bulharsko</c:v>
                </c:pt>
                <c:pt idx="11">
                  <c:v>Maďarsko</c:v>
                </c:pt>
                <c:pt idx="12">
                  <c:v>Chorvatsko</c:v>
                </c:pt>
                <c:pt idx="13">
                  <c:v>Dánsko</c:v>
                </c:pt>
                <c:pt idx="14">
                  <c:v>Průměr EU</c:v>
                </c:pt>
                <c:pt idx="15">
                  <c:v>Slovinsko</c:v>
                </c:pt>
                <c:pt idx="16">
                  <c:v>Litva</c:v>
                </c:pt>
                <c:pt idx="17">
                  <c:v>Estonsko</c:v>
                </c:pt>
                <c:pt idx="18">
                  <c:v>Velká Británie</c:v>
                </c:pt>
                <c:pt idx="19">
                  <c:v>Finsko</c:v>
                </c:pt>
                <c:pt idx="20">
                  <c:v>Portugalsko</c:v>
                </c:pt>
                <c:pt idx="21">
                  <c:v>Rakousko</c:v>
                </c:pt>
                <c:pt idx="22">
                  <c:v>Španělsko</c:v>
                </c:pt>
                <c:pt idx="23">
                  <c:v>Belgie</c:v>
                </c:pt>
                <c:pt idx="24">
                  <c:v>Řecko</c:v>
                </c:pt>
                <c:pt idx="25">
                  <c:v>Švédsko</c:v>
                </c:pt>
                <c:pt idx="26">
                  <c:v>Francie</c:v>
                </c:pt>
                <c:pt idx="27">
                  <c:v>Německo</c:v>
                </c:pt>
                <c:pt idx="28">
                  <c:v>Itálie</c:v>
                </c:pt>
              </c:strCache>
            </c:strRef>
          </c:cat>
          <c:val>
            <c:numRef>
              <c:f>Prevalence!$H$2:$H$30</c:f>
              <c:numCache>
                <c:formatCode>0.00%</c:formatCode>
                <c:ptCount val="29"/>
                <c:pt idx="0">
                  <c:v>0.0107</c:v>
                </c:pt>
                <c:pt idx="1">
                  <c:v>0.0107</c:v>
                </c:pt>
                <c:pt idx="2">
                  <c:v>0.0108</c:v>
                </c:pt>
                <c:pt idx="3">
                  <c:v>0.0126</c:v>
                </c:pt>
                <c:pt idx="4">
                  <c:v>0.0126</c:v>
                </c:pt>
                <c:pt idx="5">
                  <c:v>0.0131</c:v>
                </c:pt>
                <c:pt idx="6">
                  <c:v>0.0134</c:v>
                </c:pt>
                <c:pt idx="7">
                  <c:v>0.0136</c:v>
                </c:pt>
                <c:pt idx="8">
                  <c:v>0.0144</c:v>
                </c:pt>
                <c:pt idx="9">
                  <c:v>0.0147</c:v>
                </c:pt>
                <c:pt idx="10">
                  <c:v>0.0149</c:v>
                </c:pt>
                <c:pt idx="11">
                  <c:v>0.015</c:v>
                </c:pt>
                <c:pt idx="12">
                  <c:v>0.0153</c:v>
                </c:pt>
                <c:pt idx="13">
                  <c:v>0.0153</c:v>
                </c:pt>
                <c:pt idx="14">
                  <c:v>0.0155</c:v>
                </c:pt>
                <c:pt idx="15">
                  <c:v>0.0157</c:v>
                </c:pt>
                <c:pt idx="16">
                  <c:v>0.016</c:v>
                </c:pt>
                <c:pt idx="17">
                  <c:v>0.0162</c:v>
                </c:pt>
                <c:pt idx="18">
                  <c:v>0.0165</c:v>
                </c:pt>
                <c:pt idx="19">
                  <c:v>0.0171</c:v>
                </c:pt>
                <c:pt idx="20">
                  <c:v>0.0171</c:v>
                </c:pt>
                <c:pt idx="21">
                  <c:v>0.0173</c:v>
                </c:pt>
                <c:pt idx="22">
                  <c:v>0.0175</c:v>
                </c:pt>
                <c:pt idx="23">
                  <c:v>0.0177</c:v>
                </c:pt>
                <c:pt idx="24">
                  <c:v>0.0177</c:v>
                </c:pt>
                <c:pt idx="25">
                  <c:v>0.0182</c:v>
                </c:pt>
                <c:pt idx="26">
                  <c:v>0.0185</c:v>
                </c:pt>
                <c:pt idx="27">
                  <c:v>0.0192</c:v>
                </c:pt>
                <c:pt idx="28">
                  <c:v>0.0209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9256744"/>
        <c:axId val="2087445864"/>
      </c:barChart>
      <c:catAx>
        <c:axId val="2129256744"/>
        <c:scaling>
          <c:orientation val="minMax"/>
        </c:scaling>
        <c:delete val="0"/>
        <c:axPos val="l"/>
        <c:majorTickMark val="out"/>
        <c:minorTickMark val="none"/>
        <c:tickLblPos val="nextTo"/>
        <c:crossAx val="2087445864"/>
        <c:crosses val="autoZero"/>
        <c:auto val="1"/>
        <c:lblAlgn val="ctr"/>
        <c:lblOffset val="100"/>
        <c:noMultiLvlLbl val="0"/>
      </c:catAx>
      <c:valAx>
        <c:axId val="208744586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129256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41898680764"/>
          <c:y val="0.0363247863247863"/>
          <c:w val="0.867508339768955"/>
          <c:h val="0.6889188370684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Prevalence!$B$2</c:f>
              <c:strCache>
                <c:ptCount val="1"/>
                <c:pt idx="0">
                  <c:v>Muži s demencí</c:v>
                </c:pt>
              </c:strCache>
            </c:strRef>
          </c:tx>
          <c:invertIfNegative val="0"/>
          <c:cat>
            <c:strRef>
              <c:f>Prevalence!$A$3:$A$11</c:f>
              <c:strCache>
                <c:ptCount val="9"/>
                <c:pt idx="0">
                  <c:v>30 - 59</c:v>
                </c:pt>
                <c:pt idx="1">
                  <c:v>60 - 64</c:v>
                </c:pt>
                <c:pt idx="2">
                  <c:v>65 - 69</c:v>
                </c:pt>
                <c:pt idx="3">
                  <c:v>70 - 74</c:v>
                </c:pt>
                <c:pt idx="4">
                  <c:v>75 -79</c:v>
                </c:pt>
                <c:pt idx="5">
                  <c:v>80 - 84</c:v>
                </c:pt>
                <c:pt idx="6">
                  <c:v>85 - 89</c:v>
                </c:pt>
                <c:pt idx="7">
                  <c:v>90 - 94</c:v>
                </c:pt>
                <c:pt idx="8">
                  <c:v>95+</c:v>
                </c:pt>
              </c:strCache>
            </c:strRef>
          </c:cat>
          <c:val>
            <c:numRef>
              <c:f>Prevalence!$B$3:$B$11</c:f>
              <c:numCache>
                <c:formatCode>_(* #,##0_);_(* \(#,##0\);_(* "-"??_);_(@_)</c:formatCode>
                <c:ptCount val="9"/>
                <c:pt idx="0">
                  <c:v>3763.0</c:v>
                </c:pt>
                <c:pt idx="1">
                  <c:v>713.0</c:v>
                </c:pt>
                <c:pt idx="2">
                  <c:v>4747.0</c:v>
                </c:pt>
                <c:pt idx="3">
                  <c:v>5091.0</c:v>
                </c:pt>
                <c:pt idx="4">
                  <c:v>8436.0</c:v>
                </c:pt>
                <c:pt idx="5">
                  <c:v>11846.0</c:v>
                </c:pt>
                <c:pt idx="6">
                  <c:v>7753.0</c:v>
                </c:pt>
                <c:pt idx="7">
                  <c:v>2855.0</c:v>
                </c:pt>
                <c:pt idx="8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Prevalence!$C$2</c:f>
              <c:strCache>
                <c:ptCount val="1"/>
                <c:pt idx="0">
                  <c:v>Ženy s demencí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Prevalence!$A$3:$A$11</c:f>
              <c:strCache>
                <c:ptCount val="9"/>
                <c:pt idx="0">
                  <c:v>30 - 59</c:v>
                </c:pt>
                <c:pt idx="1">
                  <c:v>60 - 64</c:v>
                </c:pt>
                <c:pt idx="2">
                  <c:v>65 - 69</c:v>
                </c:pt>
                <c:pt idx="3">
                  <c:v>70 - 74</c:v>
                </c:pt>
                <c:pt idx="4">
                  <c:v>75 -79</c:v>
                </c:pt>
                <c:pt idx="5">
                  <c:v>80 - 84</c:v>
                </c:pt>
                <c:pt idx="6">
                  <c:v>85 - 89</c:v>
                </c:pt>
                <c:pt idx="7">
                  <c:v>90 - 94</c:v>
                </c:pt>
                <c:pt idx="8">
                  <c:v>95+</c:v>
                </c:pt>
              </c:strCache>
            </c:strRef>
          </c:cat>
          <c:val>
            <c:numRef>
              <c:f>Prevalence!$C$3:$C$11</c:f>
              <c:numCache>
                <c:formatCode>_(* #,##0_);_(* \(#,##0\);_(* "-"??_);_(@_)</c:formatCode>
                <c:ptCount val="9"/>
                <c:pt idx="0">
                  <c:v>2055.0</c:v>
                </c:pt>
                <c:pt idx="1">
                  <c:v>3576.0</c:v>
                </c:pt>
                <c:pt idx="2">
                  <c:v>4417.0</c:v>
                </c:pt>
                <c:pt idx="3">
                  <c:v>8087.0</c:v>
                </c:pt>
                <c:pt idx="4">
                  <c:v>14278.0</c:v>
                </c:pt>
                <c:pt idx="5">
                  <c:v>25164.0</c:v>
                </c:pt>
                <c:pt idx="6">
                  <c:v>25617.0</c:v>
                </c:pt>
                <c:pt idx="7">
                  <c:v>12600.0</c:v>
                </c:pt>
                <c:pt idx="8">
                  <c:v>1984.0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105655928"/>
        <c:axId val="2137238088"/>
      </c:barChart>
      <c:catAx>
        <c:axId val="21056559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137238088"/>
        <c:crosses val="autoZero"/>
        <c:auto val="1"/>
        <c:lblAlgn val="ctr"/>
        <c:lblOffset val="100"/>
        <c:noMultiLvlLbl val="0"/>
      </c:catAx>
      <c:valAx>
        <c:axId val="2137238088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none"/>
        <c:minorTickMark val="none"/>
        <c:tickLblPos val="nextTo"/>
        <c:crossAx val="21056559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 algn="ctr">
        <a:defRPr sz="9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Prevalence!$I$34</c:f>
              <c:strCache>
                <c:ptCount val="1"/>
                <c:pt idx="0">
                  <c:v>Podíl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Prevalence!$H$35:$H$43</c:f>
              <c:strCache>
                <c:ptCount val="9"/>
                <c:pt idx="0">
                  <c:v>30 - 59</c:v>
                </c:pt>
                <c:pt idx="1">
                  <c:v>60 - 64</c:v>
                </c:pt>
                <c:pt idx="2">
                  <c:v>65 - 69</c:v>
                </c:pt>
                <c:pt idx="3">
                  <c:v>70 - 74</c:v>
                </c:pt>
                <c:pt idx="4">
                  <c:v>75 -79</c:v>
                </c:pt>
                <c:pt idx="5">
                  <c:v>80 - 84</c:v>
                </c:pt>
                <c:pt idx="6">
                  <c:v>85 - 89</c:v>
                </c:pt>
                <c:pt idx="7">
                  <c:v>90 - 94</c:v>
                </c:pt>
                <c:pt idx="8">
                  <c:v>95+</c:v>
                </c:pt>
              </c:strCache>
            </c:strRef>
          </c:cat>
          <c:val>
            <c:numRef>
              <c:f>Prevalence!$I$35:$I$43</c:f>
              <c:numCache>
                <c:formatCode>0%</c:formatCode>
                <c:ptCount val="9"/>
                <c:pt idx="0">
                  <c:v>0.00127274556901659</c:v>
                </c:pt>
                <c:pt idx="1">
                  <c:v>0.00583420730819822</c:v>
                </c:pt>
                <c:pt idx="2">
                  <c:v>0.014411773494226</c:v>
                </c:pt>
                <c:pt idx="3">
                  <c:v>0.0311093904183644</c:v>
                </c:pt>
                <c:pt idx="4">
                  <c:v>0.0752203890504229</c:v>
                </c:pt>
                <c:pt idx="5">
                  <c:v>0.155482643162923</c:v>
                </c:pt>
                <c:pt idx="6">
                  <c:v>0.26466902492029</c:v>
                </c:pt>
                <c:pt idx="7">
                  <c:v>0.418403811792734</c:v>
                </c:pt>
                <c:pt idx="8">
                  <c:v>0.450858034321373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7234264"/>
        <c:axId val="2097654264"/>
      </c:barChart>
      <c:catAx>
        <c:axId val="2137234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97654264"/>
        <c:crosses val="autoZero"/>
        <c:auto val="1"/>
        <c:lblAlgn val="ctr"/>
        <c:lblOffset val="100"/>
        <c:noMultiLvlLbl val="0"/>
      </c:catAx>
      <c:valAx>
        <c:axId val="2097654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37234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 algn="ctr">
        <a:defRPr sz="9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863517060367"/>
          <c:y val="0.0514005540974045"/>
          <c:w val="0.86103915135608"/>
          <c:h val="0.735874591018589"/>
        </c:manualLayout>
      </c:layout>
      <c:lineChart>
        <c:grouping val="standard"/>
        <c:varyColors val="0"/>
        <c:ser>
          <c:idx val="0"/>
          <c:order val="0"/>
          <c:tx>
            <c:strRef>
              <c:f>Prevalence!$B$37</c:f>
              <c:strCache>
                <c:ptCount val="1"/>
                <c:pt idx="0">
                  <c:v>Eurodem</c:v>
                </c:pt>
              </c:strCache>
            </c:strRef>
          </c:tx>
          <c:marker>
            <c:symbol val="none"/>
          </c:marker>
          <c:cat>
            <c:numRef>
              <c:f>Prevalence!$A$38:$A$92</c:f>
              <c:numCache>
                <c:formatCode>General</c:formatCode>
                <c:ptCount val="55"/>
                <c:pt idx="0">
                  <c:v>1960.0</c:v>
                </c:pt>
                <c:pt idx="1">
                  <c:v>1961.0</c:v>
                </c:pt>
                <c:pt idx="2">
                  <c:v>1962.0</c:v>
                </c:pt>
                <c:pt idx="3">
                  <c:v>1963.0</c:v>
                </c:pt>
                <c:pt idx="4">
                  <c:v>1964.0</c:v>
                </c:pt>
                <c:pt idx="5">
                  <c:v>1965.0</c:v>
                </c:pt>
                <c:pt idx="6">
                  <c:v>1966.0</c:v>
                </c:pt>
                <c:pt idx="7">
                  <c:v>1967.0</c:v>
                </c:pt>
                <c:pt idx="8">
                  <c:v>1968.0</c:v>
                </c:pt>
                <c:pt idx="9">
                  <c:v>1969.0</c:v>
                </c:pt>
                <c:pt idx="10">
                  <c:v>1970.0</c:v>
                </c:pt>
                <c:pt idx="11">
                  <c:v>1971.0</c:v>
                </c:pt>
                <c:pt idx="12">
                  <c:v>1972.0</c:v>
                </c:pt>
                <c:pt idx="13">
                  <c:v>1973.0</c:v>
                </c:pt>
                <c:pt idx="14">
                  <c:v>1974.0</c:v>
                </c:pt>
                <c:pt idx="15">
                  <c:v>1975.0</c:v>
                </c:pt>
                <c:pt idx="16">
                  <c:v>1976.0</c:v>
                </c:pt>
                <c:pt idx="17">
                  <c:v>1977.0</c:v>
                </c:pt>
                <c:pt idx="18">
                  <c:v>1978.0</c:v>
                </c:pt>
                <c:pt idx="19">
                  <c:v>1979.0</c:v>
                </c:pt>
                <c:pt idx="20">
                  <c:v>1980.0</c:v>
                </c:pt>
                <c:pt idx="21">
                  <c:v>1981.0</c:v>
                </c:pt>
                <c:pt idx="22">
                  <c:v>1982.0</c:v>
                </c:pt>
                <c:pt idx="23">
                  <c:v>1983.0</c:v>
                </c:pt>
                <c:pt idx="24">
                  <c:v>1984.0</c:v>
                </c:pt>
                <c:pt idx="25">
                  <c:v>1985.0</c:v>
                </c:pt>
                <c:pt idx="26">
                  <c:v>1986.0</c:v>
                </c:pt>
                <c:pt idx="27">
                  <c:v>1987.0</c:v>
                </c:pt>
                <c:pt idx="28">
                  <c:v>1988.0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  <c:pt idx="53">
                  <c:v>2013.0</c:v>
                </c:pt>
                <c:pt idx="54">
                  <c:v>2014.0</c:v>
                </c:pt>
              </c:numCache>
            </c:numRef>
          </c:cat>
          <c:val>
            <c:numRef>
              <c:f>Prevalence!$B$38:$B$92</c:f>
              <c:numCache>
                <c:formatCode>0.00%</c:formatCode>
                <c:ptCount val="55"/>
                <c:pt idx="0">
                  <c:v>0.0058</c:v>
                </c:pt>
                <c:pt idx="1">
                  <c:v>0.0058</c:v>
                </c:pt>
                <c:pt idx="2">
                  <c:v>0.0058</c:v>
                </c:pt>
                <c:pt idx="3">
                  <c:v>0.0058</c:v>
                </c:pt>
                <c:pt idx="4">
                  <c:v>0.0058</c:v>
                </c:pt>
                <c:pt idx="5">
                  <c:v>0.0058</c:v>
                </c:pt>
                <c:pt idx="6">
                  <c:v>0.0058</c:v>
                </c:pt>
                <c:pt idx="7">
                  <c:v>0.0058</c:v>
                </c:pt>
                <c:pt idx="8">
                  <c:v>0.0058</c:v>
                </c:pt>
                <c:pt idx="9">
                  <c:v>0.0058</c:v>
                </c:pt>
                <c:pt idx="10">
                  <c:v>0.0071</c:v>
                </c:pt>
                <c:pt idx="11">
                  <c:v>0.0071</c:v>
                </c:pt>
                <c:pt idx="12">
                  <c:v>0.0071</c:v>
                </c:pt>
                <c:pt idx="13">
                  <c:v>0.0071</c:v>
                </c:pt>
                <c:pt idx="14">
                  <c:v>0.0071</c:v>
                </c:pt>
                <c:pt idx="15">
                  <c:v>0.0071</c:v>
                </c:pt>
                <c:pt idx="16">
                  <c:v>0.0071</c:v>
                </c:pt>
                <c:pt idx="17">
                  <c:v>0.0071</c:v>
                </c:pt>
                <c:pt idx="18">
                  <c:v>0.0071</c:v>
                </c:pt>
                <c:pt idx="19">
                  <c:v>0.0071</c:v>
                </c:pt>
                <c:pt idx="20">
                  <c:v>0.0079</c:v>
                </c:pt>
                <c:pt idx="21">
                  <c:v>0.0079</c:v>
                </c:pt>
                <c:pt idx="22">
                  <c:v>0.0079</c:v>
                </c:pt>
                <c:pt idx="23">
                  <c:v>0.0079</c:v>
                </c:pt>
                <c:pt idx="24">
                  <c:v>0.0079</c:v>
                </c:pt>
                <c:pt idx="25">
                  <c:v>0.0079</c:v>
                </c:pt>
                <c:pt idx="26">
                  <c:v>0.0079</c:v>
                </c:pt>
                <c:pt idx="27">
                  <c:v>0.0079</c:v>
                </c:pt>
                <c:pt idx="28">
                  <c:v>0.0079</c:v>
                </c:pt>
                <c:pt idx="29">
                  <c:v>0.0079</c:v>
                </c:pt>
                <c:pt idx="30">
                  <c:v>0.0084</c:v>
                </c:pt>
                <c:pt idx="31">
                  <c:v>0.0084</c:v>
                </c:pt>
                <c:pt idx="32">
                  <c:v>0.0084</c:v>
                </c:pt>
                <c:pt idx="33">
                  <c:v>0.0084</c:v>
                </c:pt>
                <c:pt idx="34">
                  <c:v>0.0084</c:v>
                </c:pt>
                <c:pt idx="35">
                  <c:v>0.0084</c:v>
                </c:pt>
                <c:pt idx="36">
                  <c:v>0.0084</c:v>
                </c:pt>
                <c:pt idx="37">
                  <c:v>0.0084</c:v>
                </c:pt>
                <c:pt idx="38">
                  <c:v>0.0084</c:v>
                </c:pt>
                <c:pt idx="39">
                  <c:v>0.0084</c:v>
                </c:pt>
                <c:pt idx="40">
                  <c:v>0.0084</c:v>
                </c:pt>
                <c:pt idx="41">
                  <c:v>0.0095</c:v>
                </c:pt>
                <c:pt idx="42">
                  <c:v>0.0095</c:v>
                </c:pt>
                <c:pt idx="43">
                  <c:v>0.0095</c:v>
                </c:pt>
                <c:pt idx="44">
                  <c:v>0.0095</c:v>
                </c:pt>
                <c:pt idx="45">
                  <c:v>0.0103</c:v>
                </c:pt>
                <c:pt idx="46">
                  <c:v>0.0103</c:v>
                </c:pt>
                <c:pt idx="47">
                  <c:v>0.0103</c:v>
                </c:pt>
                <c:pt idx="48">
                  <c:v>0.0103</c:v>
                </c:pt>
                <c:pt idx="49">
                  <c:v>0.0103</c:v>
                </c:pt>
                <c:pt idx="50">
                  <c:v>0.0103</c:v>
                </c:pt>
                <c:pt idx="51">
                  <c:v>0.0103</c:v>
                </c:pt>
                <c:pt idx="52">
                  <c:v>0.0103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Prevalence!$C$37</c:f>
              <c:strCache>
                <c:ptCount val="1"/>
                <c:pt idx="0">
                  <c:v>Ferri</c:v>
                </c:pt>
              </c:strCache>
            </c:strRef>
          </c:tx>
          <c:marker>
            <c:symbol val="none"/>
          </c:marker>
          <c:cat>
            <c:numRef>
              <c:f>Prevalence!$A$38:$A$92</c:f>
              <c:numCache>
                <c:formatCode>General</c:formatCode>
                <c:ptCount val="55"/>
                <c:pt idx="0">
                  <c:v>1960.0</c:v>
                </c:pt>
                <c:pt idx="1">
                  <c:v>1961.0</c:v>
                </c:pt>
                <c:pt idx="2">
                  <c:v>1962.0</c:v>
                </c:pt>
                <c:pt idx="3">
                  <c:v>1963.0</c:v>
                </c:pt>
                <c:pt idx="4">
                  <c:v>1964.0</c:v>
                </c:pt>
                <c:pt idx="5">
                  <c:v>1965.0</c:v>
                </c:pt>
                <c:pt idx="6">
                  <c:v>1966.0</c:v>
                </c:pt>
                <c:pt idx="7">
                  <c:v>1967.0</c:v>
                </c:pt>
                <c:pt idx="8">
                  <c:v>1968.0</c:v>
                </c:pt>
                <c:pt idx="9">
                  <c:v>1969.0</c:v>
                </c:pt>
                <c:pt idx="10">
                  <c:v>1970.0</c:v>
                </c:pt>
                <c:pt idx="11">
                  <c:v>1971.0</c:v>
                </c:pt>
                <c:pt idx="12">
                  <c:v>1972.0</c:v>
                </c:pt>
                <c:pt idx="13">
                  <c:v>1973.0</c:v>
                </c:pt>
                <c:pt idx="14">
                  <c:v>1974.0</c:v>
                </c:pt>
                <c:pt idx="15">
                  <c:v>1975.0</c:v>
                </c:pt>
                <c:pt idx="16">
                  <c:v>1976.0</c:v>
                </c:pt>
                <c:pt idx="17">
                  <c:v>1977.0</c:v>
                </c:pt>
                <c:pt idx="18">
                  <c:v>1978.0</c:v>
                </c:pt>
                <c:pt idx="19">
                  <c:v>1979.0</c:v>
                </c:pt>
                <c:pt idx="20">
                  <c:v>1980.0</c:v>
                </c:pt>
                <c:pt idx="21">
                  <c:v>1981.0</c:v>
                </c:pt>
                <c:pt idx="22">
                  <c:v>1982.0</c:v>
                </c:pt>
                <c:pt idx="23">
                  <c:v>1983.0</c:v>
                </c:pt>
                <c:pt idx="24">
                  <c:v>1984.0</c:v>
                </c:pt>
                <c:pt idx="25">
                  <c:v>1985.0</c:v>
                </c:pt>
                <c:pt idx="26">
                  <c:v>1986.0</c:v>
                </c:pt>
                <c:pt idx="27">
                  <c:v>1987.0</c:v>
                </c:pt>
                <c:pt idx="28">
                  <c:v>1988.0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  <c:pt idx="53">
                  <c:v>2013.0</c:v>
                </c:pt>
                <c:pt idx="54">
                  <c:v>2014.0</c:v>
                </c:pt>
              </c:numCache>
            </c:numRef>
          </c:cat>
          <c:val>
            <c:numRef>
              <c:f>Prevalence!$C$38:$C$92</c:f>
              <c:numCache>
                <c:formatCode>0.00%</c:formatCode>
                <c:ptCount val="55"/>
                <c:pt idx="0">
                  <c:v>0.0051</c:v>
                </c:pt>
                <c:pt idx="1">
                  <c:v>0.0051</c:v>
                </c:pt>
                <c:pt idx="2">
                  <c:v>0.0051</c:v>
                </c:pt>
                <c:pt idx="3">
                  <c:v>0.0051</c:v>
                </c:pt>
                <c:pt idx="4">
                  <c:v>0.0051</c:v>
                </c:pt>
                <c:pt idx="5">
                  <c:v>0.0051</c:v>
                </c:pt>
                <c:pt idx="6">
                  <c:v>0.0051</c:v>
                </c:pt>
                <c:pt idx="7">
                  <c:v>0.0051</c:v>
                </c:pt>
                <c:pt idx="8">
                  <c:v>0.0051</c:v>
                </c:pt>
                <c:pt idx="9">
                  <c:v>0.0051</c:v>
                </c:pt>
                <c:pt idx="10">
                  <c:v>0.0063</c:v>
                </c:pt>
                <c:pt idx="11">
                  <c:v>0.0063</c:v>
                </c:pt>
                <c:pt idx="12">
                  <c:v>0.0063</c:v>
                </c:pt>
                <c:pt idx="13">
                  <c:v>0.0063</c:v>
                </c:pt>
                <c:pt idx="14">
                  <c:v>0.0063</c:v>
                </c:pt>
                <c:pt idx="15">
                  <c:v>0.0063</c:v>
                </c:pt>
                <c:pt idx="16">
                  <c:v>0.0063</c:v>
                </c:pt>
                <c:pt idx="17">
                  <c:v>0.0063</c:v>
                </c:pt>
                <c:pt idx="18">
                  <c:v>0.0063</c:v>
                </c:pt>
                <c:pt idx="19">
                  <c:v>0.0063</c:v>
                </c:pt>
                <c:pt idx="20">
                  <c:v>0.0071</c:v>
                </c:pt>
                <c:pt idx="21">
                  <c:v>0.0071</c:v>
                </c:pt>
                <c:pt idx="22">
                  <c:v>0.0071</c:v>
                </c:pt>
                <c:pt idx="23">
                  <c:v>0.0071</c:v>
                </c:pt>
                <c:pt idx="24">
                  <c:v>0.0071</c:v>
                </c:pt>
                <c:pt idx="25">
                  <c:v>0.0071</c:v>
                </c:pt>
                <c:pt idx="26">
                  <c:v>0.0071</c:v>
                </c:pt>
                <c:pt idx="27">
                  <c:v>0.0071</c:v>
                </c:pt>
                <c:pt idx="28">
                  <c:v>0.0071</c:v>
                </c:pt>
                <c:pt idx="29">
                  <c:v>0.0071</c:v>
                </c:pt>
                <c:pt idx="30">
                  <c:v>0.0077</c:v>
                </c:pt>
                <c:pt idx="31">
                  <c:v>0.0077</c:v>
                </c:pt>
                <c:pt idx="32">
                  <c:v>0.0077</c:v>
                </c:pt>
                <c:pt idx="33">
                  <c:v>0.0077</c:v>
                </c:pt>
                <c:pt idx="34">
                  <c:v>0.0077</c:v>
                </c:pt>
                <c:pt idx="35">
                  <c:v>0.0077</c:v>
                </c:pt>
                <c:pt idx="36">
                  <c:v>0.0077</c:v>
                </c:pt>
                <c:pt idx="37">
                  <c:v>0.0077</c:v>
                </c:pt>
                <c:pt idx="38">
                  <c:v>0.0077</c:v>
                </c:pt>
                <c:pt idx="39">
                  <c:v>0.0077</c:v>
                </c:pt>
                <c:pt idx="40">
                  <c:v>0.0077</c:v>
                </c:pt>
                <c:pt idx="41">
                  <c:v>0.0087</c:v>
                </c:pt>
                <c:pt idx="42">
                  <c:v>0.0087</c:v>
                </c:pt>
                <c:pt idx="43">
                  <c:v>0.0087</c:v>
                </c:pt>
                <c:pt idx="44">
                  <c:v>0.0087</c:v>
                </c:pt>
                <c:pt idx="45">
                  <c:v>0.0092</c:v>
                </c:pt>
                <c:pt idx="46">
                  <c:v>0.0092</c:v>
                </c:pt>
                <c:pt idx="47">
                  <c:v>0.0092</c:v>
                </c:pt>
                <c:pt idx="48">
                  <c:v>0.0092</c:v>
                </c:pt>
                <c:pt idx="49">
                  <c:v>0.0092</c:v>
                </c:pt>
                <c:pt idx="50">
                  <c:v>0.0092</c:v>
                </c:pt>
                <c:pt idx="51">
                  <c:v>0.0092</c:v>
                </c:pt>
                <c:pt idx="52">
                  <c:v>0.0092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Prevalence!$D$37</c:f>
              <c:strCache>
                <c:ptCount val="1"/>
                <c:pt idx="0">
                  <c:v>Alzheimer Europe</c:v>
                </c:pt>
              </c:strCache>
            </c:strRef>
          </c:tx>
          <c:marker>
            <c:symbol val="none"/>
          </c:marker>
          <c:cat>
            <c:numRef>
              <c:f>Prevalence!$A$38:$A$92</c:f>
              <c:numCache>
                <c:formatCode>General</c:formatCode>
                <c:ptCount val="55"/>
                <c:pt idx="0">
                  <c:v>1960.0</c:v>
                </c:pt>
                <c:pt idx="1">
                  <c:v>1961.0</c:v>
                </c:pt>
                <c:pt idx="2">
                  <c:v>1962.0</c:v>
                </c:pt>
                <c:pt idx="3">
                  <c:v>1963.0</c:v>
                </c:pt>
                <c:pt idx="4">
                  <c:v>1964.0</c:v>
                </c:pt>
                <c:pt idx="5">
                  <c:v>1965.0</c:v>
                </c:pt>
                <c:pt idx="6">
                  <c:v>1966.0</c:v>
                </c:pt>
                <c:pt idx="7">
                  <c:v>1967.0</c:v>
                </c:pt>
                <c:pt idx="8">
                  <c:v>1968.0</c:v>
                </c:pt>
                <c:pt idx="9">
                  <c:v>1969.0</c:v>
                </c:pt>
                <c:pt idx="10">
                  <c:v>1970.0</c:v>
                </c:pt>
                <c:pt idx="11">
                  <c:v>1971.0</c:v>
                </c:pt>
                <c:pt idx="12">
                  <c:v>1972.0</c:v>
                </c:pt>
                <c:pt idx="13">
                  <c:v>1973.0</c:v>
                </c:pt>
                <c:pt idx="14">
                  <c:v>1974.0</c:v>
                </c:pt>
                <c:pt idx="15">
                  <c:v>1975.0</c:v>
                </c:pt>
                <c:pt idx="16">
                  <c:v>1976.0</c:v>
                </c:pt>
                <c:pt idx="17">
                  <c:v>1977.0</c:v>
                </c:pt>
                <c:pt idx="18">
                  <c:v>1978.0</c:v>
                </c:pt>
                <c:pt idx="19">
                  <c:v>1979.0</c:v>
                </c:pt>
                <c:pt idx="20">
                  <c:v>1980.0</c:v>
                </c:pt>
                <c:pt idx="21">
                  <c:v>1981.0</c:v>
                </c:pt>
                <c:pt idx="22">
                  <c:v>1982.0</c:v>
                </c:pt>
                <c:pt idx="23">
                  <c:v>1983.0</c:v>
                </c:pt>
                <c:pt idx="24">
                  <c:v>1984.0</c:v>
                </c:pt>
                <c:pt idx="25">
                  <c:v>1985.0</c:v>
                </c:pt>
                <c:pt idx="26">
                  <c:v>1986.0</c:v>
                </c:pt>
                <c:pt idx="27">
                  <c:v>1987.0</c:v>
                </c:pt>
                <c:pt idx="28">
                  <c:v>1988.0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  <c:pt idx="53">
                  <c:v>2013.0</c:v>
                </c:pt>
                <c:pt idx="54">
                  <c:v>2014.0</c:v>
                </c:pt>
              </c:numCache>
            </c:numRef>
          </c:cat>
          <c:val>
            <c:numRef>
              <c:f>Prevalence!$D$38:$D$92</c:f>
              <c:numCache>
                <c:formatCode>General</c:formatCode>
                <c:ptCount val="55"/>
                <c:pt idx="53" formatCode="0.00%">
                  <c:v>0.0136276432621331</c:v>
                </c:pt>
                <c:pt idx="54" formatCode="0.00%">
                  <c:v>0.0136276432621331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4999096"/>
        <c:axId val="2105500968"/>
      </c:lineChart>
      <c:catAx>
        <c:axId val="2124999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5500968"/>
        <c:crosses val="autoZero"/>
        <c:auto val="1"/>
        <c:lblAlgn val="ctr"/>
        <c:lblOffset val="100"/>
        <c:noMultiLvlLbl val="0"/>
      </c:catAx>
      <c:valAx>
        <c:axId val="21055009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24999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5637246650582"/>
          <c:y val="0.924089454571603"/>
          <c:w val="0.875360378052506"/>
          <c:h val="0.055930320353791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353926912982"/>
          <c:y val="0.0519416125615877"/>
          <c:w val="0.832351872305555"/>
          <c:h val="0.718226274347286"/>
        </c:manualLayout>
      </c:layout>
      <c:areaChart>
        <c:grouping val="standard"/>
        <c:varyColors val="0"/>
        <c:ser>
          <c:idx val="0"/>
          <c:order val="0"/>
          <c:tx>
            <c:strRef>
              <c:f>Prevalence!$E$37</c:f>
              <c:strCache>
                <c:ptCount val="1"/>
                <c:pt idx="0">
                  <c:v>Eurodem</c:v>
                </c:pt>
              </c:strCache>
            </c:strRef>
          </c:tx>
          <c:cat>
            <c:numRef>
              <c:f>Prevalence!$A$38:$A$128</c:f>
              <c:numCache>
                <c:formatCode>General</c:formatCode>
                <c:ptCount val="91"/>
                <c:pt idx="0">
                  <c:v>1960.0</c:v>
                </c:pt>
                <c:pt idx="1">
                  <c:v>1961.0</c:v>
                </c:pt>
                <c:pt idx="2">
                  <c:v>1962.0</c:v>
                </c:pt>
                <c:pt idx="3">
                  <c:v>1963.0</c:v>
                </c:pt>
                <c:pt idx="4">
                  <c:v>1964.0</c:v>
                </c:pt>
                <c:pt idx="5">
                  <c:v>1965.0</c:v>
                </c:pt>
                <c:pt idx="6">
                  <c:v>1966.0</c:v>
                </c:pt>
                <c:pt idx="7">
                  <c:v>1967.0</c:v>
                </c:pt>
                <c:pt idx="8">
                  <c:v>1968.0</c:v>
                </c:pt>
                <c:pt idx="9">
                  <c:v>1969.0</c:v>
                </c:pt>
                <c:pt idx="10">
                  <c:v>1970.0</c:v>
                </c:pt>
                <c:pt idx="11">
                  <c:v>1971.0</c:v>
                </c:pt>
                <c:pt idx="12">
                  <c:v>1972.0</c:v>
                </c:pt>
                <c:pt idx="13">
                  <c:v>1973.0</c:v>
                </c:pt>
                <c:pt idx="14">
                  <c:v>1974.0</c:v>
                </c:pt>
                <c:pt idx="15">
                  <c:v>1975.0</c:v>
                </c:pt>
                <c:pt idx="16">
                  <c:v>1976.0</c:v>
                </c:pt>
                <c:pt idx="17">
                  <c:v>1977.0</c:v>
                </c:pt>
                <c:pt idx="18">
                  <c:v>1978.0</c:v>
                </c:pt>
                <c:pt idx="19">
                  <c:v>1979.0</c:v>
                </c:pt>
                <c:pt idx="20">
                  <c:v>1980.0</c:v>
                </c:pt>
                <c:pt idx="21">
                  <c:v>1981.0</c:v>
                </c:pt>
                <c:pt idx="22">
                  <c:v>1982.0</c:v>
                </c:pt>
                <c:pt idx="23">
                  <c:v>1983.0</c:v>
                </c:pt>
                <c:pt idx="24">
                  <c:v>1984.0</c:v>
                </c:pt>
                <c:pt idx="25">
                  <c:v>1985.0</c:v>
                </c:pt>
                <c:pt idx="26">
                  <c:v>1986.0</c:v>
                </c:pt>
                <c:pt idx="27">
                  <c:v>1987.0</c:v>
                </c:pt>
                <c:pt idx="28">
                  <c:v>1988.0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  <c:pt idx="53">
                  <c:v>2013.0</c:v>
                </c:pt>
                <c:pt idx="54">
                  <c:v>2014.0</c:v>
                </c:pt>
                <c:pt idx="55">
                  <c:v>2015.0</c:v>
                </c:pt>
                <c:pt idx="56">
                  <c:v>2016.0</c:v>
                </c:pt>
                <c:pt idx="57">
                  <c:v>2017.0</c:v>
                </c:pt>
                <c:pt idx="58">
                  <c:v>2018.0</c:v>
                </c:pt>
                <c:pt idx="59">
                  <c:v>2019.0</c:v>
                </c:pt>
                <c:pt idx="60">
                  <c:v>2020.0</c:v>
                </c:pt>
                <c:pt idx="61">
                  <c:v>2021.0</c:v>
                </c:pt>
                <c:pt idx="62">
                  <c:v>2022.0</c:v>
                </c:pt>
                <c:pt idx="63">
                  <c:v>2023.0</c:v>
                </c:pt>
                <c:pt idx="64">
                  <c:v>2024.0</c:v>
                </c:pt>
                <c:pt idx="65">
                  <c:v>2025.0</c:v>
                </c:pt>
                <c:pt idx="66">
                  <c:v>2026.0</c:v>
                </c:pt>
                <c:pt idx="67">
                  <c:v>2027.0</c:v>
                </c:pt>
                <c:pt idx="68">
                  <c:v>2028.0</c:v>
                </c:pt>
                <c:pt idx="69">
                  <c:v>2029.0</c:v>
                </c:pt>
                <c:pt idx="70">
                  <c:v>2030.0</c:v>
                </c:pt>
                <c:pt idx="71">
                  <c:v>2031.0</c:v>
                </c:pt>
                <c:pt idx="72">
                  <c:v>2032.0</c:v>
                </c:pt>
                <c:pt idx="73">
                  <c:v>2033.0</c:v>
                </c:pt>
                <c:pt idx="74">
                  <c:v>2034.0</c:v>
                </c:pt>
                <c:pt idx="75">
                  <c:v>2035.0</c:v>
                </c:pt>
                <c:pt idx="76">
                  <c:v>2036.0</c:v>
                </c:pt>
                <c:pt idx="77">
                  <c:v>2037.0</c:v>
                </c:pt>
                <c:pt idx="78">
                  <c:v>2038.0</c:v>
                </c:pt>
                <c:pt idx="79">
                  <c:v>2039.0</c:v>
                </c:pt>
                <c:pt idx="80">
                  <c:v>2040.0</c:v>
                </c:pt>
                <c:pt idx="81">
                  <c:v>2041.0</c:v>
                </c:pt>
                <c:pt idx="82">
                  <c:v>2042.0</c:v>
                </c:pt>
                <c:pt idx="83">
                  <c:v>2043.0</c:v>
                </c:pt>
                <c:pt idx="84">
                  <c:v>2044.0</c:v>
                </c:pt>
                <c:pt idx="85">
                  <c:v>2045.0</c:v>
                </c:pt>
                <c:pt idx="86">
                  <c:v>2046.0</c:v>
                </c:pt>
                <c:pt idx="87">
                  <c:v>2047.0</c:v>
                </c:pt>
                <c:pt idx="88">
                  <c:v>2048.0</c:v>
                </c:pt>
                <c:pt idx="89">
                  <c:v>2049.0</c:v>
                </c:pt>
                <c:pt idx="90">
                  <c:v>2050.0</c:v>
                </c:pt>
              </c:numCache>
            </c:numRef>
          </c:cat>
          <c:val>
            <c:numRef>
              <c:f>Prevalence!$E$38:$E$128</c:f>
              <c:numCache>
                <c:formatCode>_(* #,##0_);_(* \(#,##0\);_(* "-"??_);_(@_)</c:formatCode>
                <c:ptCount val="91"/>
                <c:pt idx="0">
                  <c:v>55672.0</c:v>
                </c:pt>
                <c:pt idx="1">
                  <c:v>55672.0</c:v>
                </c:pt>
                <c:pt idx="2">
                  <c:v>55672.0</c:v>
                </c:pt>
                <c:pt idx="3">
                  <c:v>55672.0</c:v>
                </c:pt>
                <c:pt idx="4">
                  <c:v>55672.0</c:v>
                </c:pt>
                <c:pt idx="5">
                  <c:v>55672.0</c:v>
                </c:pt>
                <c:pt idx="6">
                  <c:v>55672.0</c:v>
                </c:pt>
                <c:pt idx="7">
                  <c:v>55672.0</c:v>
                </c:pt>
                <c:pt idx="8">
                  <c:v>55672.0</c:v>
                </c:pt>
                <c:pt idx="9">
                  <c:v>55672.0</c:v>
                </c:pt>
                <c:pt idx="10">
                  <c:v>70292.0</c:v>
                </c:pt>
                <c:pt idx="11">
                  <c:v>70292.0</c:v>
                </c:pt>
                <c:pt idx="12">
                  <c:v>70292.0</c:v>
                </c:pt>
                <c:pt idx="13">
                  <c:v>70292.0</c:v>
                </c:pt>
                <c:pt idx="14">
                  <c:v>70292.0</c:v>
                </c:pt>
                <c:pt idx="15">
                  <c:v>70292.0</c:v>
                </c:pt>
                <c:pt idx="16">
                  <c:v>70292.0</c:v>
                </c:pt>
                <c:pt idx="17">
                  <c:v>70292.0</c:v>
                </c:pt>
                <c:pt idx="18">
                  <c:v>70292.0</c:v>
                </c:pt>
                <c:pt idx="19">
                  <c:v>70292.0</c:v>
                </c:pt>
                <c:pt idx="20">
                  <c:v>81359.0</c:v>
                </c:pt>
                <c:pt idx="21">
                  <c:v>81359.0</c:v>
                </c:pt>
                <c:pt idx="22">
                  <c:v>81359.0</c:v>
                </c:pt>
                <c:pt idx="23">
                  <c:v>81359.0</c:v>
                </c:pt>
                <c:pt idx="24">
                  <c:v>81359.0</c:v>
                </c:pt>
                <c:pt idx="25">
                  <c:v>81359.0</c:v>
                </c:pt>
                <c:pt idx="26">
                  <c:v>81359.0</c:v>
                </c:pt>
                <c:pt idx="27">
                  <c:v>81359.0</c:v>
                </c:pt>
                <c:pt idx="28">
                  <c:v>81359.0</c:v>
                </c:pt>
                <c:pt idx="29">
                  <c:v>81359.0</c:v>
                </c:pt>
                <c:pt idx="30">
                  <c:v>87103.0</c:v>
                </c:pt>
                <c:pt idx="31">
                  <c:v>87103.0</c:v>
                </c:pt>
                <c:pt idx="32">
                  <c:v>87103.0</c:v>
                </c:pt>
                <c:pt idx="33">
                  <c:v>87103.0</c:v>
                </c:pt>
                <c:pt idx="34">
                  <c:v>87103.0</c:v>
                </c:pt>
                <c:pt idx="35">
                  <c:v>87103.0</c:v>
                </c:pt>
                <c:pt idx="36">
                  <c:v>87103.0</c:v>
                </c:pt>
                <c:pt idx="37">
                  <c:v>87103.0</c:v>
                </c:pt>
                <c:pt idx="38">
                  <c:v>87103.0</c:v>
                </c:pt>
                <c:pt idx="39">
                  <c:v>87103.0</c:v>
                </c:pt>
                <c:pt idx="40">
                  <c:v>98064.0</c:v>
                </c:pt>
                <c:pt idx="41">
                  <c:v>98064.0</c:v>
                </c:pt>
                <c:pt idx="42">
                  <c:v>98064.0</c:v>
                </c:pt>
                <c:pt idx="43">
                  <c:v>98064.0</c:v>
                </c:pt>
                <c:pt idx="44">
                  <c:v>98064.0</c:v>
                </c:pt>
                <c:pt idx="45">
                  <c:v>105553.0</c:v>
                </c:pt>
                <c:pt idx="46">
                  <c:v>105553.0</c:v>
                </c:pt>
                <c:pt idx="47">
                  <c:v>105553.0</c:v>
                </c:pt>
                <c:pt idx="48">
                  <c:v>105553.0</c:v>
                </c:pt>
                <c:pt idx="49">
                  <c:v>105553.0</c:v>
                </c:pt>
                <c:pt idx="50">
                  <c:v>105553.0</c:v>
                </c:pt>
                <c:pt idx="51">
                  <c:v>105553.0</c:v>
                </c:pt>
                <c:pt idx="52">
                  <c:v>105553.0</c:v>
                </c:pt>
              </c:numCache>
            </c:numRef>
          </c:val>
        </c:ser>
        <c:ser>
          <c:idx val="1"/>
          <c:order val="1"/>
          <c:tx>
            <c:strRef>
              <c:f>Prevalence!$F$37</c:f>
              <c:strCache>
                <c:ptCount val="1"/>
                <c:pt idx="0">
                  <c:v>Ferri</c:v>
                </c:pt>
              </c:strCache>
            </c:strRef>
          </c:tx>
          <c:cat>
            <c:numRef>
              <c:f>Prevalence!$A$38:$A$128</c:f>
              <c:numCache>
                <c:formatCode>General</c:formatCode>
                <c:ptCount val="91"/>
                <c:pt idx="0">
                  <c:v>1960.0</c:v>
                </c:pt>
                <c:pt idx="1">
                  <c:v>1961.0</c:v>
                </c:pt>
                <c:pt idx="2">
                  <c:v>1962.0</c:v>
                </c:pt>
                <c:pt idx="3">
                  <c:v>1963.0</c:v>
                </c:pt>
                <c:pt idx="4">
                  <c:v>1964.0</c:v>
                </c:pt>
                <c:pt idx="5">
                  <c:v>1965.0</c:v>
                </c:pt>
                <c:pt idx="6">
                  <c:v>1966.0</c:v>
                </c:pt>
                <c:pt idx="7">
                  <c:v>1967.0</c:v>
                </c:pt>
                <c:pt idx="8">
                  <c:v>1968.0</c:v>
                </c:pt>
                <c:pt idx="9">
                  <c:v>1969.0</c:v>
                </c:pt>
                <c:pt idx="10">
                  <c:v>1970.0</c:v>
                </c:pt>
                <c:pt idx="11">
                  <c:v>1971.0</c:v>
                </c:pt>
                <c:pt idx="12">
                  <c:v>1972.0</c:v>
                </c:pt>
                <c:pt idx="13">
                  <c:v>1973.0</c:v>
                </c:pt>
                <c:pt idx="14">
                  <c:v>1974.0</c:v>
                </c:pt>
                <c:pt idx="15">
                  <c:v>1975.0</c:v>
                </c:pt>
                <c:pt idx="16">
                  <c:v>1976.0</c:v>
                </c:pt>
                <c:pt idx="17">
                  <c:v>1977.0</c:v>
                </c:pt>
                <c:pt idx="18">
                  <c:v>1978.0</c:v>
                </c:pt>
                <c:pt idx="19">
                  <c:v>1979.0</c:v>
                </c:pt>
                <c:pt idx="20">
                  <c:v>1980.0</c:v>
                </c:pt>
                <c:pt idx="21">
                  <c:v>1981.0</c:v>
                </c:pt>
                <c:pt idx="22">
                  <c:v>1982.0</c:v>
                </c:pt>
                <c:pt idx="23">
                  <c:v>1983.0</c:v>
                </c:pt>
                <c:pt idx="24">
                  <c:v>1984.0</c:v>
                </c:pt>
                <c:pt idx="25">
                  <c:v>1985.0</c:v>
                </c:pt>
                <c:pt idx="26">
                  <c:v>1986.0</c:v>
                </c:pt>
                <c:pt idx="27">
                  <c:v>1987.0</c:v>
                </c:pt>
                <c:pt idx="28">
                  <c:v>1988.0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  <c:pt idx="53">
                  <c:v>2013.0</c:v>
                </c:pt>
                <c:pt idx="54">
                  <c:v>2014.0</c:v>
                </c:pt>
                <c:pt idx="55">
                  <c:v>2015.0</c:v>
                </c:pt>
                <c:pt idx="56">
                  <c:v>2016.0</c:v>
                </c:pt>
                <c:pt idx="57">
                  <c:v>2017.0</c:v>
                </c:pt>
                <c:pt idx="58">
                  <c:v>2018.0</c:v>
                </c:pt>
                <c:pt idx="59">
                  <c:v>2019.0</c:v>
                </c:pt>
                <c:pt idx="60">
                  <c:v>2020.0</c:v>
                </c:pt>
                <c:pt idx="61">
                  <c:v>2021.0</c:v>
                </c:pt>
                <c:pt idx="62">
                  <c:v>2022.0</c:v>
                </c:pt>
                <c:pt idx="63">
                  <c:v>2023.0</c:v>
                </c:pt>
                <c:pt idx="64">
                  <c:v>2024.0</c:v>
                </c:pt>
                <c:pt idx="65">
                  <c:v>2025.0</c:v>
                </c:pt>
                <c:pt idx="66">
                  <c:v>2026.0</c:v>
                </c:pt>
                <c:pt idx="67">
                  <c:v>2027.0</c:v>
                </c:pt>
                <c:pt idx="68">
                  <c:v>2028.0</c:v>
                </c:pt>
                <c:pt idx="69">
                  <c:v>2029.0</c:v>
                </c:pt>
                <c:pt idx="70">
                  <c:v>2030.0</c:v>
                </c:pt>
                <c:pt idx="71">
                  <c:v>2031.0</c:v>
                </c:pt>
                <c:pt idx="72">
                  <c:v>2032.0</c:v>
                </c:pt>
                <c:pt idx="73">
                  <c:v>2033.0</c:v>
                </c:pt>
                <c:pt idx="74">
                  <c:v>2034.0</c:v>
                </c:pt>
                <c:pt idx="75">
                  <c:v>2035.0</c:v>
                </c:pt>
                <c:pt idx="76">
                  <c:v>2036.0</c:v>
                </c:pt>
                <c:pt idx="77">
                  <c:v>2037.0</c:v>
                </c:pt>
                <c:pt idx="78">
                  <c:v>2038.0</c:v>
                </c:pt>
                <c:pt idx="79">
                  <c:v>2039.0</c:v>
                </c:pt>
                <c:pt idx="80">
                  <c:v>2040.0</c:v>
                </c:pt>
                <c:pt idx="81">
                  <c:v>2041.0</c:v>
                </c:pt>
                <c:pt idx="82">
                  <c:v>2042.0</c:v>
                </c:pt>
                <c:pt idx="83">
                  <c:v>2043.0</c:v>
                </c:pt>
                <c:pt idx="84">
                  <c:v>2044.0</c:v>
                </c:pt>
                <c:pt idx="85">
                  <c:v>2045.0</c:v>
                </c:pt>
                <c:pt idx="86">
                  <c:v>2046.0</c:v>
                </c:pt>
                <c:pt idx="87">
                  <c:v>2047.0</c:v>
                </c:pt>
                <c:pt idx="88">
                  <c:v>2048.0</c:v>
                </c:pt>
                <c:pt idx="89">
                  <c:v>2049.0</c:v>
                </c:pt>
                <c:pt idx="90">
                  <c:v>2050.0</c:v>
                </c:pt>
              </c:numCache>
            </c:numRef>
          </c:cat>
          <c:val>
            <c:numRef>
              <c:f>Prevalence!$F$38:$F$128</c:f>
              <c:numCache>
                <c:formatCode>_(* #,##0_);_(* \(#,##0\);_(* "-"??_);_(@_)</c:formatCode>
                <c:ptCount val="91"/>
                <c:pt idx="0">
                  <c:v>48943.0</c:v>
                </c:pt>
                <c:pt idx="1">
                  <c:v>48943.0</c:v>
                </c:pt>
                <c:pt idx="2">
                  <c:v>48943.0</c:v>
                </c:pt>
                <c:pt idx="3">
                  <c:v>48943.0</c:v>
                </c:pt>
                <c:pt idx="4">
                  <c:v>48943.0</c:v>
                </c:pt>
                <c:pt idx="5">
                  <c:v>48943.0</c:v>
                </c:pt>
                <c:pt idx="6">
                  <c:v>48943.0</c:v>
                </c:pt>
                <c:pt idx="7">
                  <c:v>48943.0</c:v>
                </c:pt>
                <c:pt idx="8">
                  <c:v>48943.0</c:v>
                </c:pt>
                <c:pt idx="9">
                  <c:v>48943.0</c:v>
                </c:pt>
                <c:pt idx="10">
                  <c:v>62500.0</c:v>
                </c:pt>
                <c:pt idx="11">
                  <c:v>62500.0</c:v>
                </c:pt>
                <c:pt idx="12">
                  <c:v>62500.0</c:v>
                </c:pt>
                <c:pt idx="13">
                  <c:v>62500.0</c:v>
                </c:pt>
                <c:pt idx="14">
                  <c:v>62500.0</c:v>
                </c:pt>
                <c:pt idx="15">
                  <c:v>62500.0</c:v>
                </c:pt>
                <c:pt idx="16">
                  <c:v>62500.0</c:v>
                </c:pt>
                <c:pt idx="17">
                  <c:v>62500.0</c:v>
                </c:pt>
                <c:pt idx="18">
                  <c:v>62500.0</c:v>
                </c:pt>
                <c:pt idx="19">
                  <c:v>62500.0</c:v>
                </c:pt>
                <c:pt idx="20">
                  <c:v>72769.0</c:v>
                </c:pt>
                <c:pt idx="21">
                  <c:v>72769.0</c:v>
                </c:pt>
                <c:pt idx="22">
                  <c:v>72769.0</c:v>
                </c:pt>
                <c:pt idx="23">
                  <c:v>72769.0</c:v>
                </c:pt>
                <c:pt idx="24">
                  <c:v>72769.0</c:v>
                </c:pt>
                <c:pt idx="25">
                  <c:v>72769.0</c:v>
                </c:pt>
                <c:pt idx="26">
                  <c:v>72769.0</c:v>
                </c:pt>
                <c:pt idx="27">
                  <c:v>72769.0</c:v>
                </c:pt>
                <c:pt idx="28">
                  <c:v>72769.0</c:v>
                </c:pt>
                <c:pt idx="29">
                  <c:v>72769.0</c:v>
                </c:pt>
                <c:pt idx="30">
                  <c:v>79344.0</c:v>
                </c:pt>
                <c:pt idx="31">
                  <c:v>79344.0</c:v>
                </c:pt>
                <c:pt idx="32">
                  <c:v>79344.0</c:v>
                </c:pt>
                <c:pt idx="33">
                  <c:v>79344.0</c:v>
                </c:pt>
                <c:pt idx="34">
                  <c:v>79344.0</c:v>
                </c:pt>
                <c:pt idx="35">
                  <c:v>79344.0</c:v>
                </c:pt>
                <c:pt idx="36">
                  <c:v>79344.0</c:v>
                </c:pt>
                <c:pt idx="37">
                  <c:v>79344.0</c:v>
                </c:pt>
                <c:pt idx="38">
                  <c:v>79344.0</c:v>
                </c:pt>
                <c:pt idx="39">
                  <c:v>79344.0</c:v>
                </c:pt>
                <c:pt idx="40">
                  <c:v>89023.0</c:v>
                </c:pt>
                <c:pt idx="41">
                  <c:v>89023.0</c:v>
                </c:pt>
                <c:pt idx="42">
                  <c:v>89023.0</c:v>
                </c:pt>
                <c:pt idx="43">
                  <c:v>89023.0</c:v>
                </c:pt>
                <c:pt idx="44">
                  <c:v>89023.0</c:v>
                </c:pt>
                <c:pt idx="45">
                  <c:v>93973.0</c:v>
                </c:pt>
                <c:pt idx="46">
                  <c:v>93973.0</c:v>
                </c:pt>
                <c:pt idx="47">
                  <c:v>93973.0</c:v>
                </c:pt>
                <c:pt idx="48">
                  <c:v>93973.0</c:v>
                </c:pt>
                <c:pt idx="49">
                  <c:v>93973.0</c:v>
                </c:pt>
                <c:pt idx="50">
                  <c:v>93973.0</c:v>
                </c:pt>
                <c:pt idx="51">
                  <c:v>93973.0</c:v>
                </c:pt>
                <c:pt idx="52">
                  <c:v>93973.0</c:v>
                </c:pt>
              </c:numCache>
            </c:numRef>
          </c:val>
        </c:ser>
        <c:ser>
          <c:idx val="2"/>
          <c:order val="2"/>
          <c:tx>
            <c:strRef>
              <c:f>Prevalence!$G$37</c:f>
              <c:strCache>
                <c:ptCount val="1"/>
                <c:pt idx="0">
                  <c:v>Alzheimer Europe</c:v>
                </c:pt>
              </c:strCache>
            </c:strRef>
          </c:tx>
          <c:cat>
            <c:numRef>
              <c:f>Prevalence!$A$38:$A$128</c:f>
              <c:numCache>
                <c:formatCode>General</c:formatCode>
                <c:ptCount val="91"/>
                <c:pt idx="0">
                  <c:v>1960.0</c:v>
                </c:pt>
                <c:pt idx="1">
                  <c:v>1961.0</c:v>
                </c:pt>
                <c:pt idx="2">
                  <c:v>1962.0</c:v>
                </c:pt>
                <c:pt idx="3">
                  <c:v>1963.0</c:v>
                </c:pt>
                <c:pt idx="4">
                  <c:v>1964.0</c:v>
                </c:pt>
                <c:pt idx="5">
                  <c:v>1965.0</c:v>
                </c:pt>
                <c:pt idx="6">
                  <c:v>1966.0</c:v>
                </c:pt>
                <c:pt idx="7">
                  <c:v>1967.0</c:v>
                </c:pt>
                <c:pt idx="8">
                  <c:v>1968.0</c:v>
                </c:pt>
                <c:pt idx="9">
                  <c:v>1969.0</c:v>
                </c:pt>
                <c:pt idx="10">
                  <c:v>1970.0</c:v>
                </c:pt>
                <c:pt idx="11">
                  <c:v>1971.0</c:v>
                </c:pt>
                <c:pt idx="12">
                  <c:v>1972.0</c:v>
                </c:pt>
                <c:pt idx="13">
                  <c:v>1973.0</c:v>
                </c:pt>
                <c:pt idx="14">
                  <c:v>1974.0</c:v>
                </c:pt>
                <c:pt idx="15">
                  <c:v>1975.0</c:v>
                </c:pt>
                <c:pt idx="16">
                  <c:v>1976.0</c:v>
                </c:pt>
                <c:pt idx="17">
                  <c:v>1977.0</c:v>
                </c:pt>
                <c:pt idx="18">
                  <c:v>1978.0</c:v>
                </c:pt>
                <c:pt idx="19">
                  <c:v>1979.0</c:v>
                </c:pt>
                <c:pt idx="20">
                  <c:v>1980.0</c:v>
                </c:pt>
                <c:pt idx="21">
                  <c:v>1981.0</c:v>
                </c:pt>
                <c:pt idx="22">
                  <c:v>1982.0</c:v>
                </c:pt>
                <c:pt idx="23">
                  <c:v>1983.0</c:v>
                </c:pt>
                <c:pt idx="24">
                  <c:v>1984.0</c:v>
                </c:pt>
                <c:pt idx="25">
                  <c:v>1985.0</c:v>
                </c:pt>
                <c:pt idx="26">
                  <c:v>1986.0</c:v>
                </c:pt>
                <c:pt idx="27">
                  <c:v>1987.0</c:v>
                </c:pt>
                <c:pt idx="28">
                  <c:v>1988.0</c:v>
                </c:pt>
                <c:pt idx="29">
                  <c:v>1989.0</c:v>
                </c:pt>
                <c:pt idx="30">
                  <c:v>1990.0</c:v>
                </c:pt>
                <c:pt idx="31">
                  <c:v>1991.0</c:v>
                </c:pt>
                <c:pt idx="32">
                  <c:v>1992.0</c:v>
                </c:pt>
                <c:pt idx="33">
                  <c:v>1993.0</c:v>
                </c:pt>
                <c:pt idx="34">
                  <c:v>1994.0</c:v>
                </c:pt>
                <c:pt idx="35">
                  <c:v>1995.0</c:v>
                </c:pt>
                <c:pt idx="36">
                  <c:v>1996.0</c:v>
                </c:pt>
                <c:pt idx="37">
                  <c:v>1997.0</c:v>
                </c:pt>
                <c:pt idx="38">
                  <c:v>1998.0</c:v>
                </c:pt>
                <c:pt idx="39">
                  <c:v>1999.0</c:v>
                </c:pt>
                <c:pt idx="40">
                  <c:v>2000.0</c:v>
                </c:pt>
                <c:pt idx="41">
                  <c:v>2001.0</c:v>
                </c:pt>
                <c:pt idx="42">
                  <c:v>2002.0</c:v>
                </c:pt>
                <c:pt idx="43">
                  <c:v>2003.0</c:v>
                </c:pt>
                <c:pt idx="44">
                  <c:v>2004.0</c:v>
                </c:pt>
                <c:pt idx="45">
                  <c:v>2005.0</c:v>
                </c:pt>
                <c:pt idx="46">
                  <c:v>2006.0</c:v>
                </c:pt>
                <c:pt idx="47">
                  <c:v>2007.0</c:v>
                </c:pt>
                <c:pt idx="48">
                  <c:v>2008.0</c:v>
                </c:pt>
                <c:pt idx="49">
                  <c:v>2009.0</c:v>
                </c:pt>
                <c:pt idx="50">
                  <c:v>2010.0</c:v>
                </c:pt>
                <c:pt idx="51">
                  <c:v>2011.0</c:v>
                </c:pt>
                <c:pt idx="52">
                  <c:v>2012.0</c:v>
                </c:pt>
                <c:pt idx="53">
                  <c:v>2013.0</c:v>
                </c:pt>
                <c:pt idx="54">
                  <c:v>2014.0</c:v>
                </c:pt>
                <c:pt idx="55">
                  <c:v>2015.0</c:v>
                </c:pt>
                <c:pt idx="56">
                  <c:v>2016.0</c:v>
                </c:pt>
                <c:pt idx="57">
                  <c:v>2017.0</c:v>
                </c:pt>
                <c:pt idx="58">
                  <c:v>2018.0</c:v>
                </c:pt>
                <c:pt idx="59">
                  <c:v>2019.0</c:v>
                </c:pt>
                <c:pt idx="60">
                  <c:v>2020.0</c:v>
                </c:pt>
                <c:pt idx="61">
                  <c:v>2021.0</c:v>
                </c:pt>
                <c:pt idx="62">
                  <c:v>2022.0</c:v>
                </c:pt>
                <c:pt idx="63">
                  <c:v>2023.0</c:v>
                </c:pt>
                <c:pt idx="64">
                  <c:v>2024.0</c:v>
                </c:pt>
                <c:pt idx="65">
                  <c:v>2025.0</c:v>
                </c:pt>
                <c:pt idx="66">
                  <c:v>2026.0</c:v>
                </c:pt>
                <c:pt idx="67">
                  <c:v>2027.0</c:v>
                </c:pt>
                <c:pt idx="68">
                  <c:v>2028.0</c:v>
                </c:pt>
                <c:pt idx="69">
                  <c:v>2029.0</c:v>
                </c:pt>
                <c:pt idx="70">
                  <c:v>2030.0</c:v>
                </c:pt>
                <c:pt idx="71">
                  <c:v>2031.0</c:v>
                </c:pt>
                <c:pt idx="72">
                  <c:v>2032.0</c:v>
                </c:pt>
                <c:pt idx="73">
                  <c:v>2033.0</c:v>
                </c:pt>
                <c:pt idx="74">
                  <c:v>2034.0</c:v>
                </c:pt>
                <c:pt idx="75">
                  <c:v>2035.0</c:v>
                </c:pt>
                <c:pt idx="76">
                  <c:v>2036.0</c:v>
                </c:pt>
                <c:pt idx="77">
                  <c:v>2037.0</c:v>
                </c:pt>
                <c:pt idx="78">
                  <c:v>2038.0</c:v>
                </c:pt>
                <c:pt idx="79">
                  <c:v>2039.0</c:v>
                </c:pt>
                <c:pt idx="80">
                  <c:v>2040.0</c:v>
                </c:pt>
                <c:pt idx="81">
                  <c:v>2041.0</c:v>
                </c:pt>
                <c:pt idx="82">
                  <c:v>2042.0</c:v>
                </c:pt>
                <c:pt idx="83">
                  <c:v>2043.0</c:v>
                </c:pt>
                <c:pt idx="84">
                  <c:v>2044.0</c:v>
                </c:pt>
                <c:pt idx="85">
                  <c:v>2045.0</c:v>
                </c:pt>
                <c:pt idx="86">
                  <c:v>2046.0</c:v>
                </c:pt>
                <c:pt idx="87">
                  <c:v>2047.0</c:v>
                </c:pt>
                <c:pt idx="88">
                  <c:v>2048.0</c:v>
                </c:pt>
                <c:pt idx="89">
                  <c:v>2049.0</c:v>
                </c:pt>
                <c:pt idx="90">
                  <c:v>2050.0</c:v>
                </c:pt>
              </c:numCache>
            </c:numRef>
          </c:cat>
          <c:val>
            <c:numRef>
              <c:f>Prevalence!$G$38:$G$128</c:f>
              <c:numCache>
                <c:formatCode>General</c:formatCode>
                <c:ptCount val="91"/>
                <c:pt idx="53" formatCode="_(* #,##0_);_(* \(#,##0\);_(* &quot;-&quot;??_);_(@_)">
                  <c:v>143310.0</c:v>
                </c:pt>
                <c:pt idx="54" formatCode="_(* #,##0_);_(* \(#,##0\);_(* &quot;-&quot;??_);_(@_)">
                  <c:v>154236.7531355178</c:v>
                </c:pt>
                <c:pt idx="55" formatCode="_(* #,##0_);_(* \(#,##0\);_(* &quot;-&quot;??_);_(@_)">
                  <c:v>158641.835479235</c:v>
                </c:pt>
                <c:pt idx="56" formatCode="_(* #,##0_);_(* \(#,##0\);_(* &quot;-&quot;??_);_(@_)">
                  <c:v>163252.9105266133</c:v>
                </c:pt>
                <c:pt idx="57" formatCode="_(* #,##0_);_(* \(#,##0\);_(* &quot;-&quot;??_);_(@_)">
                  <c:v>167893.5545133366</c:v>
                </c:pt>
                <c:pt idx="58" formatCode="_(* #,##0_);_(* \(#,##0\);_(* &quot;-&quot;??_);_(@_)">
                  <c:v>172793.71748049</c:v>
                </c:pt>
                <c:pt idx="59" formatCode="_(* #,##0_);_(* \(#,##0\);_(* &quot;-&quot;??_);_(@_)">
                  <c:v>177657.2585937103</c:v>
                </c:pt>
                <c:pt idx="60" formatCode="_(* #,##0_);_(* \(#,##0\);_(* &quot;-&quot;??_);_(@_)">
                  <c:v>182913.0272165145</c:v>
                </c:pt>
                <c:pt idx="61" formatCode="_(* #,##0_);_(* \(#,##0\);_(* &quot;-&quot;??_);_(@_)">
                  <c:v>189026.7610517246</c:v>
                </c:pt>
                <c:pt idx="62" formatCode="_(* #,##0_);_(* \(#,##0\);_(* &quot;-&quot;??_);_(@_)">
                  <c:v>195355.036071618</c:v>
                </c:pt>
                <c:pt idx="63" formatCode="_(* #,##0_);_(* \(#,##0\);_(* &quot;-&quot;??_);_(@_)">
                  <c:v>202024.9853374509</c:v>
                </c:pt>
                <c:pt idx="64" formatCode="_(* #,##0_);_(* \(#,##0\);_(* &quot;-&quot;??_);_(@_)">
                  <c:v>208534.8317634619</c:v>
                </c:pt>
                <c:pt idx="65" formatCode="_(* #,##0_);_(* \(#,##0\);_(* &quot;-&quot;??_);_(@_)">
                  <c:v>215163.4082971076</c:v>
                </c:pt>
                <c:pt idx="66" formatCode="_(* #,##0_);_(* \(#,##0\);_(* &quot;-&quot;??_);_(@_)">
                  <c:v>223107.1320580333</c:v>
                </c:pt>
                <c:pt idx="67" formatCode="_(* #,##0_);_(* \(#,##0\);_(* &quot;-&quot;??_);_(@_)">
                  <c:v>231140.3953895465</c:v>
                </c:pt>
                <c:pt idx="68" formatCode="_(* #,##0_);_(* \(#,##0\);_(* &quot;-&quot;??_);_(@_)">
                  <c:v>239302.9820946444</c:v>
                </c:pt>
                <c:pt idx="69" formatCode="_(* #,##0_);_(* \(#,##0\);_(* &quot;-&quot;??_);_(@_)">
                  <c:v>247025.4213732995</c:v>
                </c:pt>
                <c:pt idx="70" formatCode="_(* #,##0_);_(* \(#,##0\);_(* &quot;-&quot;??_);_(@_)">
                  <c:v>254727.7759473802</c:v>
                </c:pt>
                <c:pt idx="71" formatCode="_(* #,##0_);_(* \(#,##0\);_(* &quot;-&quot;??_);_(@_)">
                  <c:v>263604.8243219574</c:v>
                </c:pt>
                <c:pt idx="72" formatCode="_(* #,##0_);_(* \(#,##0\);_(* &quot;-&quot;??_);_(@_)">
                  <c:v>272266.102675816</c:v>
                </c:pt>
                <c:pt idx="73" formatCode="_(* #,##0_);_(* \(#,##0\);_(* &quot;-&quot;??_);_(@_)">
                  <c:v>280522.075429222</c:v>
                </c:pt>
                <c:pt idx="74" formatCode="_(* #,##0_);_(* \(#,##0\);_(* &quot;-&quot;??_);_(@_)">
                  <c:v>287964.0314352775</c:v>
                </c:pt>
                <c:pt idx="75" formatCode="_(* #,##0_);_(* \(#,##0\);_(* &quot;-&quot;??_);_(@_)">
                  <c:v>294934.3941811357</c:v>
                </c:pt>
                <c:pt idx="76" formatCode="_(* #,##0_);_(* \(#,##0\);_(* &quot;-&quot;??_);_(@_)">
                  <c:v>302810.4646549085</c:v>
                </c:pt>
                <c:pt idx="77" formatCode="_(* #,##0_);_(* \(#,##0\);_(* &quot;-&quot;??_);_(@_)">
                  <c:v>310231.2913563366</c:v>
                </c:pt>
                <c:pt idx="78" formatCode="_(* #,##0_);_(* \(#,##0\);_(* &quot;-&quot;??_);_(@_)">
                  <c:v>316900.8578367264</c:v>
                </c:pt>
                <c:pt idx="79" formatCode="_(* #,##0_);_(* \(#,##0\);_(* &quot;-&quot;??_);_(@_)">
                  <c:v>322754.6337356439</c:v>
                </c:pt>
                <c:pt idx="80" formatCode="_(* #,##0_);_(* \(#,##0\);_(* &quot;-&quot;??_);_(@_)">
                  <c:v>328347.927077986</c:v>
                </c:pt>
                <c:pt idx="81" formatCode="_(* #,##0_);_(* \(#,##0\);_(* &quot;-&quot;??_);_(@_)">
                  <c:v>333833.305048726</c:v>
                </c:pt>
                <c:pt idx="82" formatCode="_(* #,##0_);_(* \(#,##0\);_(* &quot;-&quot;??_);_(@_)">
                  <c:v>339072.0764020552</c:v>
                </c:pt>
                <c:pt idx="83" formatCode="_(* #,##0_);_(* \(#,##0\);_(* &quot;-&quot;??_);_(@_)">
                  <c:v>344387.0781122195</c:v>
                </c:pt>
                <c:pt idx="84" formatCode="_(* #,##0_);_(* \(#,##0\);_(* &quot;-&quot;??_);_(@_)">
                  <c:v>349606.3397434021</c:v>
                </c:pt>
                <c:pt idx="85" formatCode="_(* #,##0_);_(* \(#,##0\);_(* &quot;-&quot;??_);_(@_)">
                  <c:v>354613.5348273577</c:v>
                </c:pt>
                <c:pt idx="86" formatCode="_(* #,##0_);_(* \(#,##0\);_(* &quot;-&quot;??_);_(@_)">
                  <c:v>359478.2380143364</c:v>
                </c:pt>
                <c:pt idx="87" formatCode="_(* #,##0_);_(* \(#,##0\);_(* &quot;-&quot;??_);_(@_)">
                  <c:v>364510.3287088401</c:v>
                </c:pt>
                <c:pt idx="88" formatCode="_(* #,##0_);_(* \(#,##0\);_(* &quot;-&quot;??_);_(@_)">
                  <c:v>370369.5920560894</c:v>
                </c:pt>
                <c:pt idx="89" formatCode="_(* #,##0_);_(* \(#,##0\);_(* &quot;-&quot;??_);_(@_)">
                  <c:v>376762.9487877225</c:v>
                </c:pt>
                <c:pt idx="90" formatCode="_(* #,##0_);_(* \(#,##0\);_(* &quot;-&quot;??_);_(@_)">
                  <c:v>383048.8013702967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5928136"/>
        <c:axId val="2125409160"/>
      </c:areaChart>
      <c:catAx>
        <c:axId val="2125928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2125409160"/>
        <c:crosses val="autoZero"/>
        <c:auto val="1"/>
        <c:lblAlgn val="ctr"/>
        <c:lblOffset val="100"/>
        <c:tickLblSkip val="5"/>
        <c:noMultiLvlLbl val="0"/>
      </c:catAx>
      <c:valAx>
        <c:axId val="2125409160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crossAx val="212592813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30076839942518"/>
          <c:y val="0.906435695538058"/>
          <c:w val="0.839757247538628"/>
          <c:h val="0.061982410093475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'Nabidka sluzeb'!$E$43</c:f>
              <c:strCache>
                <c:ptCount val="1"/>
                <c:pt idx="0">
                  <c:v>Počet lidí s demencí</c:v>
                </c:pt>
              </c:strCache>
            </c:strRef>
          </c:tx>
          <c:invertIfNegative val="0"/>
          <c:cat>
            <c:strRef>
              <c:f>'Nabidka sluzeb'!$D$44:$D$57</c:f>
              <c:strCache>
                <c:ptCount val="14"/>
                <c:pt idx="0">
                  <c:v>HlMP</c:v>
                </c:pt>
                <c:pt idx="1">
                  <c:v>STČ</c:v>
                </c:pt>
                <c:pt idx="2">
                  <c:v>JIČ</c:v>
                </c:pt>
                <c:pt idx="3">
                  <c:v>PLZ</c:v>
                </c:pt>
                <c:pt idx="4">
                  <c:v>KVA</c:v>
                </c:pt>
                <c:pt idx="5">
                  <c:v>ÚST</c:v>
                </c:pt>
                <c:pt idx="6">
                  <c:v>LIB</c:v>
                </c:pt>
                <c:pt idx="7">
                  <c:v>KHR</c:v>
                </c:pt>
                <c:pt idx="8">
                  <c:v>PAR</c:v>
                </c:pt>
                <c:pt idx="9">
                  <c:v>VYS</c:v>
                </c:pt>
                <c:pt idx="10">
                  <c:v>JIM</c:v>
                </c:pt>
                <c:pt idx="11">
                  <c:v>OLM</c:v>
                </c:pt>
                <c:pt idx="12">
                  <c:v>ZLN</c:v>
                </c:pt>
                <c:pt idx="13">
                  <c:v>MSL</c:v>
                </c:pt>
              </c:strCache>
            </c:strRef>
          </c:cat>
          <c:val>
            <c:numRef>
              <c:f>'Nabidka sluzeb'!$E$44:$E$57</c:f>
              <c:numCache>
                <c:formatCode>General</c:formatCode>
                <c:ptCount val="14"/>
                <c:pt idx="0">
                  <c:v>18978.83682407343</c:v>
                </c:pt>
                <c:pt idx="1">
                  <c:v>16218.10830593578</c:v>
                </c:pt>
                <c:pt idx="2">
                  <c:v>8640.401264811705</c:v>
                </c:pt>
                <c:pt idx="3">
                  <c:v>7821.367610877037</c:v>
                </c:pt>
                <c:pt idx="4">
                  <c:v>3654.577222511661</c:v>
                </c:pt>
                <c:pt idx="5">
                  <c:v>9756.51186436624</c:v>
                </c:pt>
                <c:pt idx="6">
                  <c:v>5696.529152391198</c:v>
                </c:pt>
                <c:pt idx="7">
                  <c:v>8097.440642205372</c:v>
                </c:pt>
                <c:pt idx="8">
                  <c:v>7215.473909250013</c:v>
                </c:pt>
                <c:pt idx="9">
                  <c:v>7179.282059340891</c:v>
                </c:pt>
                <c:pt idx="10">
                  <c:v>16893.26597650266</c:v>
                </c:pt>
                <c:pt idx="11">
                  <c:v>8954.077741269811</c:v>
                </c:pt>
                <c:pt idx="12">
                  <c:v>8418.838747794306</c:v>
                </c:pt>
                <c:pt idx="13">
                  <c:v>15785.2886786699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073032"/>
        <c:axId val="2125042520"/>
      </c:barChart>
      <c:catAx>
        <c:axId val="2126073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5042520"/>
        <c:crosses val="autoZero"/>
        <c:auto val="1"/>
        <c:lblAlgn val="ctr"/>
        <c:lblOffset val="100"/>
        <c:noMultiLvlLbl val="0"/>
      </c:catAx>
      <c:valAx>
        <c:axId val="2125042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60730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3"/>
            <c:invertIfNegative val="0"/>
            <c:bubble3D val="0"/>
            <c:spPr>
              <a:solidFill>
                <a:schemeClr val="tx1"/>
              </a:solidFill>
            </c:spPr>
          </c:dPt>
          <c:cat>
            <c:strRef>
              <c:f>'Nabidka sluzeb'!$P$2:$P$19</c:f>
              <c:strCache>
                <c:ptCount val="18"/>
                <c:pt idx="0">
                  <c:v>Maďarsko</c:v>
                </c:pt>
                <c:pt idx="1">
                  <c:v>Bulharsko</c:v>
                </c:pt>
                <c:pt idx="2">
                  <c:v>Nizozemí</c:v>
                </c:pt>
                <c:pt idx="3">
                  <c:v>Česká republika</c:v>
                </c:pt>
                <c:pt idx="4">
                  <c:v>Slovensko</c:v>
                </c:pt>
                <c:pt idx="5">
                  <c:v>Polsko</c:v>
                </c:pt>
                <c:pt idx="6">
                  <c:v>Velká Británie</c:v>
                </c:pt>
                <c:pt idx="7">
                  <c:v>Itálie</c:v>
                </c:pt>
                <c:pt idx="8">
                  <c:v>Německo</c:v>
                </c:pt>
                <c:pt idx="9">
                  <c:v>Dánsko</c:v>
                </c:pt>
                <c:pt idx="10">
                  <c:v>Belgie</c:v>
                </c:pt>
                <c:pt idx="11">
                  <c:v>Rakousko</c:v>
                </c:pt>
                <c:pt idx="12">
                  <c:v>Portugalsko</c:v>
                </c:pt>
                <c:pt idx="13">
                  <c:v>Španělsko</c:v>
                </c:pt>
                <c:pt idx="14">
                  <c:v>Irsko</c:v>
                </c:pt>
                <c:pt idx="15">
                  <c:v>Švédsko</c:v>
                </c:pt>
                <c:pt idx="16">
                  <c:v>Francie</c:v>
                </c:pt>
                <c:pt idx="17">
                  <c:v>Řecko</c:v>
                </c:pt>
              </c:strCache>
            </c:strRef>
          </c:cat>
          <c:val>
            <c:numRef>
              <c:f>'Nabidka sluzeb'!$Q$2:$Q$19</c:f>
              <c:numCache>
                <c:formatCode>General</c:formatCode>
                <c:ptCount val="18"/>
                <c:pt idx="0">
                  <c:v>3.0</c:v>
                </c:pt>
                <c:pt idx="1">
                  <c:v>6.0</c:v>
                </c:pt>
                <c:pt idx="2">
                  <c:v>8.0</c:v>
                </c:pt>
                <c:pt idx="3">
                  <c:v>9.0</c:v>
                </c:pt>
                <c:pt idx="4">
                  <c:v>10.0</c:v>
                </c:pt>
                <c:pt idx="5">
                  <c:v>16.0</c:v>
                </c:pt>
                <c:pt idx="6">
                  <c:v>18.0</c:v>
                </c:pt>
                <c:pt idx="7">
                  <c:v>18.0</c:v>
                </c:pt>
                <c:pt idx="8">
                  <c:v>26.0</c:v>
                </c:pt>
                <c:pt idx="9">
                  <c:v>28.0</c:v>
                </c:pt>
                <c:pt idx="10">
                  <c:v>30.0</c:v>
                </c:pt>
                <c:pt idx="11">
                  <c:v>32.0</c:v>
                </c:pt>
                <c:pt idx="12">
                  <c:v>33.0</c:v>
                </c:pt>
                <c:pt idx="13">
                  <c:v>40.0</c:v>
                </c:pt>
                <c:pt idx="14">
                  <c:v>46.0</c:v>
                </c:pt>
                <c:pt idx="15">
                  <c:v>47.0</c:v>
                </c:pt>
                <c:pt idx="16">
                  <c:v>50.0</c:v>
                </c:pt>
                <c:pt idx="17">
                  <c:v>97.0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9559560"/>
        <c:axId val="2137967736"/>
      </c:barChart>
      <c:catAx>
        <c:axId val="2129559560"/>
        <c:scaling>
          <c:orientation val="minMax"/>
        </c:scaling>
        <c:delete val="0"/>
        <c:axPos val="l"/>
        <c:majorTickMark val="out"/>
        <c:minorTickMark val="none"/>
        <c:tickLblPos val="nextTo"/>
        <c:crossAx val="2137967736"/>
        <c:crosses val="autoZero"/>
        <c:auto val="1"/>
        <c:lblAlgn val="ctr"/>
        <c:lblOffset val="100"/>
        <c:noMultiLvlLbl val="0"/>
      </c:catAx>
      <c:valAx>
        <c:axId val="2137967736"/>
        <c:scaling>
          <c:orientation val="minMax"/>
          <c:max val="100.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295595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A8F38E-90FA-45FD-8DC2-F92AA769F5C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652CE82-B0CB-4E64-8C65-FC015C33AC17}">
      <dgm:prSet phldrT="[Text]" custT="1"/>
      <dgm:spPr/>
      <dgm:t>
        <a:bodyPr/>
        <a:lstStyle/>
        <a:p>
          <a:r>
            <a:rPr lang="cs-CZ" sz="900"/>
            <a:t>Objem poskytované péče</a:t>
          </a:r>
        </a:p>
      </dgm:t>
    </dgm:pt>
    <dgm:pt modelId="{C778291E-2A82-48B9-9EB9-810DEC5929D5}" type="parTrans" cxnId="{6505D319-26A2-498C-A76D-6A660144643C}">
      <dgm:prSet/>
      <dgm:spPr/>
      <dgm:t>
        <a:bodyPr/>
        <a:lstStyle/>
        <a:p>
          <a:endParaRPr lang="cs-CZ" sz="900"/>
        </a:p>
      </dgm:t>
    </dgm:pt>
    <dgm:pt modelId="{41D87934-6CF8-46B1-AA9B-C94E684C98CD}" type="sibTrans" cxnId="{6505D319-26A2-498C-A76D-6A660144643C}">
      <dgm:prSet/>
      <dgm:spPr/>
      <dgm:t>
        <a:bodyPr/>
        <a:lstStyle/>
        <a:p>
          <a:endParaRPr lang="cs-CZ" sz="900"/>
        </a:p>
      </dgm:t>
    </dgm:pt>
    <dgm:pt modelId="{76195CB7-F9CF-468F-BF2A-648CB2C85FDC}">
      <dgm:prSet phldrT="[Text]" custT="1"/>
      <dgm:spPr/>
      <dgm:t>
        <a:bodyPr/>
        <a:lstStyle/>
        <a:p>
          <a:r>
            <a:rPr lang="cs-CZ" sz="900"/>
            <a:t>Poptávka služeb, ochota populace služby využívat</a:t>
          </a:r>
        </a:p>
      </dgm:t>
    </dgm:pt>
    <dgm:pt modelId="{34944A95-19BC-4394-8C64-BD3CFE2E20ED}" type="parTrans" cxnId="{F06501F6-061F-4A61-9C92-9C83164072D4}">
      <dgm:prSet custT="1"/>
      <dgm:spPr/>
      <dgm:t>
        <a:bodyPr/>
        <a:lstStyle/>
        <a:p>
          <a:endParaRPr lang="cs-CZ" sz="900"/>
        </a:p>
      </dgm:t>
    </dgm:pt>
    <dgm:pt modelId="{B3D70E58-5A8B-4EB3-8888-030DC9564CEF}" type="sibTrans" cxnId="{F06501F6-061F-4A61-9C92-9C83164072D4}">
      <dgm:prSet/>
      <dgm:spPr/>
      <dgm:t>
        <a:bodyPr/>
        <a:lstStyle/>
        <a:p>
          <a:endParaRPr lang="cs-CZ" sz="900"/>
        </a:p>
      </dgm:t>
    </dgm:pt>
    <dgm:pt modelId="{D6E3D5F6-B45E-43B6-9C92-07569E885226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cs-CZ" sz="900"/>
            <a:t>Nabídka služeb, možnosti poskytovatelů služby nabízet</a:t>
          </a:r>
        </a:p>
      </dgm:t>
    </dgm:pt>
    <dgm:pt modelId="{E17CFD48-BA5C-4AA0-BE11-8E3EE0024598}" type="parTrans" cxnId="{56AD9193-C66D-4243-8C81-4D4BAC025047}">
      <dgm:prSet custT="1"/>
      <dgm:spPr/>
      <dgm:t>
        <a:bodyPr/>
        <a:lstStyle/>
        <a:p>
          <a:endParaRPr lang="cs-CZ" sz="900"/>
        </a:p>
      </dgm:t>
    </dgm:pt>
    <dgm:pt modelId="{7AAFBF34-B16B-460A-9AA0-336EC3831ED7}" type="sibTrans" cxnId="{56AD9193-C66D-4243-8C81-4D4BAC025047}">
      <dgm:prSet/>
      <dgm:spPr/>
      <dgm:t>
        <a:bodyPr/>
        <a:lstStyle/>
        <a:p>
          <a:endParaRPr lang="cs-CZ" sz="900"/>
        </a:p>
      </dgm:t>
    </dgm:pt>
    <dgm:pt modelId="{128804DC-0265-43F2-9389-A711F526E0DB}">
      <dgm:prSet custT="1"/>
      <dgm:spPr>
        <a:solidFill>
          <a:srgbClr val="7F7F7F"/>
        </a:solidFill>
      </dgm:spPr>
      <dgm:t>
        <a:bodyPr/>
        <a:lstStyle/>
        <a:p>
          <a:r>
            <a:rPr lang="cs-CZ" sz="900"/>
            <a:t>Potřeba formální péče (zdravotní stav - prevalence demence, sociální kontext včetně dostupnosti neformální péče)</a:t>
          </a:r>
        </a:p>
      </dgm:t>
    </dgm:pt>
    <dgm:pt modelId="{0A149385-585D-4988-9A8F-1350E73D46E1}" type="parTrans" cxnId="{5303B217-AB2A-459F-8AFF-6997D70003E5}">
      <dgm:prSet custT="1"/>
      <dgm:spPr/>
      <dgm:t>
        <a:bodyPr/>
        <a:lstStyle/>
        <a:p>
          <a:endParaRPr lang="cs-CZ" sz="900"/>
        </a:p>
      </dgm:t>
    </dgm:pt>
    <dgm:pt modelId="{B73ACFD4-D7BB-4F29-8DCE-895DB4E9D659}" type="sibTrans" cxnId="{5303B217-AB2A-459F-8AFF-6997D70003E5}">
      <dgm:prSet/>
      <dgm:spPr/>
      <dgm:t>
        <a:bodyPr/>
        <a:lstStyle/>
        <a:p>
          <a:endParaRPr lang="cs-CZ" sz="900"/>
        </a:p>
      </dgm:t>
    </dgm:pt>
    <dgm:pt modelId="{58499E85-233C-47D3-AA71-B2B8B3221CFD}">
      <dgm:prSet custT="1"/>
      <dgm:spPr/>
      <dgm:t>
        <a:bodyPr/>
        <a:lstStyle/>
        <a:p>
          <a:r>
            <a:rPr lang="cs-CZ" sz="900"/>
            <a:t>Dostupnost pracovní síly a ekonomických zdrojů, strategický a regulatorní rámec</a:t>
          </a:r>
        </a:p>
      </dgm:t>
    </dgm:pt>
    <dgm:pt modelId="{0164D214-96DA-4E18-A73A-6B90E22B6C91}" type="parTrans" cxnId="{62C47459-0172-4633-9F1E-BB6E0B1512DB}">
      <dgm:prSet custT="1"/>
      <dgm:spPr/>
      <dgm:t>
        <a:bodyPr/>
        <a:lstStyle/>
        <a:p>
          <a:endParaRPr lang="cs-CZ" sz="900"/>
        </a:p>
      </dgm:t>
    </dgm:pt>
    <dgm:pt modelId="{1CB71D3A-A748-4E80-BF94-9ACE82CC61F8}" type="sibTrans" cxnId="{62C47459-0172-4633-9F1E-BB6E0B1512DB}">
      <dgm:prSet/>
      <dgm:spPr/>
      <dgm:t>
        <a:bodyPr/>
        <a:lstStyle/>
        <a:p>
          <a:endParaRPr lang="en-US" sz="900"/>
        </a:p>
      </dgm:t>
    </dgm:pt>
    <dgm:pt modelId="{5DD3A959-D40D-475B-82BB-931996FE64A1}">
      <dgm:prSet custT="1"/>
      <dgm:spPr/>
      <dgm:t>
        <a:bodyPr/>
        <a:lstStyle/>
        <a:p>
          <a:r>
            <a:rPr lang="cs-CZ" sz="900"/>
            <a:t>Vliv prostředí, vzdělání, kulturních a ostatních faktorů</a:t>
          </a:r>
        </a:p>
      </dgm:t>
    </dgm:pt>
    <dgm:pt modelId="{E897F40E-8A94-42D2-9820-A9B830E6C290}" type="parTrans" cxnId="{0368368C-094F-4F90-86AE-B8EA62B6B1BE}">
      <dgm:prSet custT="1"/>
      <dgm:spPr/>
      <dgm:t>
        <a:bodyPr/>
        <a:lstStyle/>
        <a:p>
          <a:endParaRPr lang="cs-CZ" sz="900"/>
        </a:p>
      </dgm:t>
    </dgm:pt>
    <dgm:pt modelId="{E4D0FC0C-930E-47B3-9700-213F643A0932}" type="sibTrans" cxnId="{0368368C-094F-4F90-86AE-B8EA62B6B1BE}">
      <dgm:prSet/>
      <dgm:spPr/>
      <dgm:t>
        <a:bodyPr/>
        <a:lstStyle/>
        <a:p>
          <a:endParaRPr lang="en-US" sz="900"/>
        </a:p>
      </dgm:t>
    </dgm:pt>
    <dgm:pt modelId="{1CD1DE38-15E5-4A04-8BF5-D955D4ECF82F}" type="pres">
      <dgm:prSet presAssocID="{33A8F38E-90FA-45FD-8DC2-F92AA769F5C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ECF74DA-F37A-4881-8964-60010C47359E}" type="pres">
      <dgm:prSet presAssocID="{D652CE82-B0CB-4E64-8C65-FC015C33AC17}" presName="root1" presStyleCnt="0"/>
      <dgm:spPr/>
    </dgm:pt>
    <dgm:pt modelId="{E3EE4DB5-07A3-4942-8497-08A98C5B8BD7}" type="pres">
      <dgm:prSet presAssocID="{D652CE82-B0CB-4E64-8C65-FC015C33AC17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531130-0F45-4E61-B56C-AA41DBB01A52}" type="pres">
      <dgm:prSet presAssocID="{D652CE82-B0CB-4E64-8C65-FC015C33AC17}" presName="level2hierChild" presStyleCnt="0"/>
      <dgm:spPr/>
    </dgm:pt>
    <dgm:pt modelId="{A5BFA9CC-16F0-4890-B958-A5F5CCF9014B}" type="pres">
      <dgm:prSet presAssocID="{34944A95-19BC-4394-8C64-BD3CFE2E20ED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AA1D8E24-D5BE-4848-8507-B2BE6A4D8543}" type="pres">
      <dgm:prSet presAssocID="{34944A95-19BC-4394-8C64-BD3CFE2E20ED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426621F-C476-4D35-AD2E-6AD5B85A0CCF}" type="pres">
      <dgm:prSet presAssocID="{76195CB7-F9CF-468F-BF2A-648CB2C85FDC}" presName="root2" presStyleCnt="0"/>
      <dgm:spPr/>
    </dgm:pt>
    <dgm:pt modelId="{D8B99115-A95F-4F0F-8DFB-ADADEDB59632}" type="pres">
      <dgm:prSet presAssocID="{76195CB7-F9CF-468F-BF2A-648CB2C85FDC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2F063E1-35BD-484F-8D59-32E31117E0C8}" type="pres">
      <dgm:prSet presAssocID="{76195CB7-F9CF-468F-BF2A-648CB2C85FDC}" presName="level3hierChild" presStyleCnt="0"/>
      <dgm:spPr/>
    </dgm:pt>
    <dgm:pt modelId="{0437F1EC-CA61-4005-8853-A03E31260FC7}" type="pres">
      <dgm:prSet presAssocID="{0A149385-585D-4988-9A8F-1350E73D46E1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543792C5-2136-4751-A8BC-07E4FD23C400}" type="pres">
      <dgm:prSet presAssocID="{0A149385-585D-4988-9A8F-1350E73D46E1}" presName="connTx" presStyleLbl="parChTrans1D3" presStyleIdx="0" presStyleCnt="3"/>
      <dgm:spPr/>
      <dgm:t>
        <a:bodyPr/>
        <a:lstStyle/>
        <a:p>
          <a:endParaRPr lang="en-US"/>
        </a:p>
      </dgm:t>
    </dgm:pt>
    <dgm:pt modelId="{7678A928-8BD4-4536-B699-425711AAF26E}" type="pres">
      <dgm:prSet presAssocID="{128804DC-0265-43F2-9389-A711F526E0DB}" presName="root2" presStyleCnt="0"/>
      <dgm:spPr/>
    </dgm:pt>
    <dgm:pt modelId="{09031A57-CADF-4DE9-B9C2-6408AACBF53E}" type="pres">
      <dgm:prSet presAssocID="{128804DC-0265-43F2-9389-A711F526E0DB}" presName="LevelTwoTextNode" presStyleLbl="node3" presStyleIdx="0" presStyleCnt="3" custScaleY="12637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91FB1C-8A05-43B4-B200-B3C8250CAD06}" type="pres">
      <dgm:prSet presAssocID="{128804DC-0265-43F2-9389-A711F526E0DB}" presName="level3hierChild" presStyleCnt="0"/>
      <dgm:spPr/>
    </dgm:pt>
    <dgm:pt modelId="{64861A52-9E49-4FA3-BA86-128F45E285AF}" type="pres">
      <dgm:prSet presAssocID="{E897F40E-8A94-42D2-9820-A9B830E6C290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E8BCE38F-A7DC-4429-948B-0FD1C8D3928E}" type="pres">
      <dgm:prSet presAssocID="{E897F40E-8A94-42D2-9820-A9B830E6C290}" presName="connTx" presStyleLbl="parChTrans1D3" presStyleIdx="1" presStyleCnt="3"/>
      <dgm:spPr/>
      <dgm:t>
        <a:bodyPr/>
        <a:lstStyle/>
        <a:p>
          <a:endParaRPr lang="en-US"/>
        </a:p>
      </dgm:t>
    </dgm:pt>
    <dgm:pt modelId="{33E6D5B7-CFB5-4439-BACF-E501AB155B71}" type="pres">
      <dgm:prSet presAssocID="{5DD3A959-D40D-475B-82BB-931996FE64A1}" presName="root2" presStyleCnt="0"/>
      <dgm:spPr/>
    </dgm:pt>
    <dgm:pt modelId="{91435DDE-3575-413B-B580-9971D12DE41E}" type="pres">
      <dgm:prSet presAssocID="{5DD3A959-D40D-475B-82BB-931996FE64A1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F89089C-D757-4383-81E6-761A521EF137}" type="pres">
      <dgm:prSet presAssocID="{5DD3A959-D40D-475B-82BB-931996FE64A1}" presName="level3hierChild" presStyleCnt="0"/>
      <dgm:spPr/>
    </dgm:pt>
    <dgm:pt modelId="{8628521C-4B91-4462-B1BD-5D960E0E408B}" type="pres">
      <dgm:prSet presAssocID="{E17CFD48-BA5C-4AA0-BE11-8E3EE0024598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6EAC4A37-8EBD-4C88-B079-31B1C046835A}" type="pres">
      <dgm:prSet presAssocID="{E17CFD48-BA5C-4AA0-BE11-8E3EE0024598}" presName="connTx" presStyleLbl="parChTrans1D2" presStyleIdx="1" presStyleCnt="2"/>
      <dgm:spPr/>
      <dgm:t>
        <a:bodyPr/>
        <a:lstStyle/>
        <a:p>
          <a:endParaRPr lang="en-US"/>
        </a:p>
      </dgm:t>
    </dgm:pt>
    <dgm:pt modelId="{5ADC8CC6-C743-4308-938C-818E0672702A}" type="pres">
      <dgm:prSet presAssocID="{D6E3D5F6-B45E-43B6-9C92-07569E885226}" presName="root2" presStyleCnt="0"/>
      <dgm:spPr/>
    </dgm:pt>
    <dgm:pt modelId="{2DBABCF5-D2F3-4A00-BAFE-B04432F47353}" type="pres">
      <dgm:prSet presAssocID="{D6E3D5F6-B45E-43B6-9C92-07569E88522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99D0272-394A-4A32-B0B0-08B5DB577756}" type="pres">
      <dgm:prSet presAssocID="{D6E3D5F6-B45E-43B6-9C92-07569E885226}" presName="level3hierChild" presStyleCnt="0"/>
      <dgm:spPr/>
    </dgm:pt>
    <dgm:pt modelId="{703995A7-697E-4185-BC03-6A5C7256F6E8}" type="pres">
      <dgm:prSet presAssocID="{0164D214-96DA-4E18-A73A-6B90E22B6C91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3710685E-DBFA-461E-BFD2-5D959DEF1EDB}" type="pres">
      <dgm:prSet presAssocID="{0164D214-96DA-4E18-A73A-6B90E22B6C91}" presName="connTx" presStyleLbl="parChTrans1D3" presStyleIdx="2" presStyleCnt="3"/>
      <dgm:spPr/>
      <dgm:t>
        <a:bodyPr/>
        <a:lstStyle/>
        <a:p>
          <a:endParaRPr lang="en-US"/>
        </a:p>
      </dgm:t>
    </dgm:pt>
    <dgm:pt modelId="{03426EA8-3B1B-4597-883A-F80D4DA228A7}" type="pres">
      <dgm:prSet presAssocID="{58499E85-233C-47D3-AA71-B2B8B3221CFD}" presName="root2" presStyleCnt="0"/>
      <dgm:spPr/>
    </dgm:pt>
    <dgm:pt modelId="{36135FC4-C92F-49D4-9AE2-3D85155CF338}" type="pres">
      <dgm:prSet presAssocID="{58499E85-233C-47D3-AA71-B2B8B3221CFD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6AA4309-E7EF-49FD-9A2E-D5195D00AC07}" type="pres">
      <dgm:prSet presAssocID="{58499E85-233C-47D3-AA71-B2B8B3221CFD}" presName="level3hierChild" presStyleCnt="0"/>
      <dgm:spPr/>
    </dgm:pt>
  </dgm:ptLst>
  <dgm:cxnLst>
    <dgm:cxn modelId="{E7108975-B81D-ED40-91BD-AE85CD21CB60}" type="presOf" srcId="{34944A95-19BC-4394-8C64-BD3CFE2E20ED}" destId="{AA1D8E24-D5BE-4848-8507-B2BE6A4D8543}" srcOrd="1" destOrd="0" presId="urn:microsoft.com/office/officeart/2005/8/layout/hierarchy2"/>
    <dgm:cxn modelId="{4CA60D92-BE10-1046-A2E3-E075C21811B5}" type="presOf" srcId="{58499E85-233C-47D3-AA71-B2B8B3221CFD}" destId="{36135FC4-C92F-49D4-9AE2-3D85155CF338}" srcOrd="0" destOrd="0" presId="urn:microsoft.com/office/officeart/2005/8/layout/hierarchy2"/>
    <dgm:cxn modelId="{5303B217-AB2A-459F-8AFF-6997D70003E5}" srcId="{76195CB7-F9CF-468F-BF2A-648CB2C85FDC}" destId="{128804DC-0265-43F2-9389-A711F526E0DB}" srcOrd="0" destOrd="0" parTransId="{0A149385-585D-4988-9A8F-1350E73D46E1}" sibTransId="{B73ACFD4-D7BB-4F29-8DCE-895DB4E9D659}"/>
    <dgm:cxn modelId="{7A0EE289-AD43-474A-99B0-383A59D5D0C1}" type="presOf" srcId="{D6E3D5F6-B45E-43B6-9C92-07569E885226}" destId="{2DBABCF5-D2F3-4A00-BAFE-B04432F47353}" srcOrd="0" destOrd="0" presId="urn:microsoft.com/office/officeart/2005/8/layout/hierarchy2"/>
    <dgm:cxn modelId="{0F89EDFE-2E9A-A947-8A8E-C679FD105B92}" type="presOf" srcId="{76195CB7-F9CF-468F-BF2A-648CB2C85FDC}" destId="{D8B99115-A95F-4F0F-8DFB-ADADEDB59632}" srcOrd="0" destOrd="0" presId="urn:microsoft.com/office/officeart/2005/8/layout/hierarchy2"/>
    <dgm:cxn modelId="{386CEBB4-C4C5-3449-AF60-CB1F108A1B9C}" type="presOf" srcId="{128804DC-0265-43F2-9389-A711F526E0DB}" destId="{09031A57-CADF-4DE9-B9C2-6408AACBF53E}" srcOrd="0" destOrd="0" presId="urn:microsoft.com/office/officeart/2005/8/layout/hierarchy2"/>
    <dgm:cxn modelId="{FD371AAE-7107-2448-977B-135623CE75E5}" type="presOf" srcId="{5DD3A959-D40D-475B-82BB-931996FE64A1}" destId="{91435DDE-3575-413B-B580-9971D12DE41E}" srcOrd="0" destOrd="0" presId="urn:microsoft.com/office/officeart/2005/8/layout/hierarchy2"/>
    <dgm:cxn modelId="{6362A6C7-8C75-6745-AF5A-DE5BCF6AD447}" type="presOf" srcId="{0A149385-585D-4988-9A8F-1350E73D46E1}" destId="{0437F1EC-CA61-4005-8853-A03E31260FC7}" srcOrd="0" destOrd="0" presId="urn:microsoft.com/office/officeart/2005/8/layout/hierarchy2"/>
    <dgm:cxn modelId="{F06501F6-061F-4A61-9C92-9C83164072D4}" srcId="{D652CE82-B0CB-4E64-8C65-FC015C33AC17}" destId="{76195CB7-F9CF-468F-BF2A-648CB2C85FDC}" srcOrd="0" destOrd="0" parTransId="{34944A95-19BC-4394-8C64-BD3CFE2E20ED}" sibTransId="{B3D70E58-5A8B-4EB3-8888-030DC9564CEF}"/>
    <dgm:cxn modelId="{56AD9193-C66D-4243-8C81-4D4BAC025047}" srcId="{D652CE82-B0CB-4E64-8C65-FC015C33AC17}" destId="{D6E3D5F6-B45E-43B6-9C92-07569E885226}" srcOrd="1" destOrd="0" parTransId="{E17CFD48-BA5C-4AA0-BE11-8E3EE0024598}" sibTransId="{7AAFBF34-B16B-460A-9AA0-336EC3831ED7}"/>
    <dgm:cxn modelId="{390E8B09-E8A1-A34D-A4D1-C489672C73EB}" type="presOf" srcId="{34944A95-19BC-4394-8C64-BD3CFE2E20ED}" destId="{A5BFA9CC-16F0-4890-B958-A5F5CCF9014B}" srcOrd="0" destOrd="0" presId="urn:microsoft.com/office/officeart/2005/8/layout/hierarchy2"/>
    <dgm:cxn modelId="{0368368C-094F-4F90-86AE-B8EA62B6B1BE}" srcId="{76195CB7-F9CF-468F-BF2A-648CB2C85FDC}" destId="{5DD3A959-D40D-475B-82BB-931996FE64A1}" srcOrd="1" destOrd="0" parTransId="{E897F40E-8A94-42D2-9820-A9B830E6C290}" sibTransId="{E4D0FC0C-930E-47B3-9700-213F643A0932}"/>
    <dgm:cxn modelId="{14356158-F0A8-0447-98E9-1F279DC29A18}" type="presOf" srcId="{E897F40E-8A94-42D2-9820-A9B830E6C290}" destId="{64861A52-9E49-4FA3-BA86-128F45E285AF}" srcOrd="0" destOrd="0" presId="urn:microsoft.com/office/officeart/2005/8/layout/hierarchy2"/>
    <dgm:cxn modelId="{38790344-69E4-204D-BD44-31B20F43A8FE}" type="presOf" srcId="{0A149385-585D-4988-9A8F-1350E73D46E1}" destId="{543792C5-2136-4751-A8BC-07E4FD23C400}" srcOrd="1" destOrd="0" presId="urn:microsoft.com/office/officeart/2005/8/layout/hierarchy2"/>
    <dgm:cxn modelId="{D6E7E0F2-A6A0-3A4B-8EE8-42BACBD47C14}" type="presOf" srcId="{0164D214-96DA-4E18-A73A-6B90E22B6C91}" destId="{3710685E-DBFA-461E-BFD2-5D959DEF1EDB}" srcOrd="1" destOrd="0" presId="urn:microsoft.com/office/officeart/2005/8/layout/hierarchy2"/>
    <dgm:cxn modelId="{EA899A29-A99C-2040-8DAC-C9DBF718D16B}" type="presOf" srcId="{D652CE82-B0CB-4E64-8C65-FC015C33AC17}" destId="{E3EE4DB5-07A3-4942-8497-08A98C5B8BD7}" srcOrd="0" destOrd="0" presId="urn:microsoft.com/office/officeart/2005/8/layout/hierarchy2"/>
    <dgm:cxn modelId="{2814DE81-CC7A-D941-B860-B8F58BA75EEC}" type="presOf" srcId="{E17CFD48-BA5C-4AA0-BE11-8E3EE0024598}" destId="{6EAC4A37-8EBD-4C88-B079-31B1C046835A}" srcOrd="1" destOrd="0" presId="urn:microsoft.com/office/officeart/2005/8/layout/hierarchy2"/>
    <dgm:cxn modelId="{435783D9-8DE5-A246-99A2-0090983068D9}" type="presOf" srcId="{E897F40E-8A94-42D2-9820-A9B830E6C290}" destId="{E8BCE38F-A7DC-4429-948B-0FD1C8D3928E}" srcOrd="1" destOrd="0" presId="urn:microsoft.com/office/officeart/2005/8/layout/hierarchy2"/>
    <dgm:cxn modelId="{62C47459-0172-4633-9F1E-BB6E0B1512DB}" srcId="{D6E3D5F6-B45E-43B6-9C92-07569E885226}" destId="{58499E85-233C-47D3-AA71-B2B8B3221CFD}" srcOrd="0" destOrd="0" parTransId="{0164D214-96DA-4E18-A73A-6B90E22B6C91}" sibTransId="{1CB71D3A-A748-4E80-BF94-9ACE82CC61F8}"/>
    <dgm:cxn modelId="{6505D319-26A2-498C-A76D-6A660144643C}" srcId="{33A8F38E-90FA-45FD-8DC2-F92AA769F5C8}" destId="{D652CE82-B0CB-4E64-8C65-FC015C33AC17}" srcOrd="0" destOrd="0" parTransId="{C778291E-2A82-48B9-9EB9-810DEC5929D5}" sibTransId="{41D87934-6CF8-46B1-AA9B-C94E684C98CD}"/>
    <dgm:cxn modelId="{1914B167-79A3-474E-A8E9-33995D3A2C8A}" type="presOf" srcId="{33A8F38E-90FA-45FD-8DC2-F92AA769F5C8}" destId="{1CD1DE38-15E5-4A04-8BF5-D955D4ECF82F}" srcOrd="0" destOrd="0" presId="urn:microsoft.com/office/officeart/2005/8/layout/hierarchy2"/>
    <dgm:cxn modelId="{D1750863-5980-9044-B462-A2D2C9CB7C07}" type="presOf" srcId="{E17CFD48-BA5C-4AA0-BE11-8E3EE0024598}" destId="{8628521C-4B91-4462-B1BD-5D960E0E408B}" srcOrd="0" destOrd="0" presId="urn:microsoft.com/office/officeart/2005/8/layout/hierarchy2"/>
    <dgm:cxn modelId="{B691B25F-074C-0B40-AA12-C2A21B16B629}" type="presOf" srcId="{0164D214-96DA-4E18-A73A-6B90E22B6C91}" destId="{703995A7-697E-4185-BC03-6A5C7256F6E8}" srcOrd="0" destOrd="0" presId="urn:microsoft.com/office/officeart/2005/8/layout/hierarchy2"/>
    <dgm:cxn modelId="{DAAB18AB-69E7-D947-A5D6-A94082B25C0D}" type="presParOf" srcId="{1CD1DE38-15E5-4A04-8BF5-D955D4ECF82F}" destId="{FECF74DA-F37A-4881-8964-60010C47359E}" srcOrd="0" destOrd="0" presId="urn:microsoft.com/office/officeart/2005/8/layout/hierarchy2"/>
    <dgm:cxn modelId="{F0972F32-FEAE-0444-B57A-F9DA79D37A42}" type="presParOf" srcId="{FECF74DA-F37A-4881-8964-60010C47359E}" destId="{E3EE4DB5-07A3-4942-8497-08A98C5B8BD7}" srcOrd="0" destOrd="0" presId="urn:microsoft.com/office/officeart/2005/8/layout/hierarchy2"/>
    <dgm:cxn modelId="{5449E426-D636-1845-83C2-42F6A0140B79}" type="presParOf" srcId="{FECF74DA-F37A-4881-8964-60010C47359E}" destId="{28531130-0F45-4E61-B56C-AA41DBB01A52}" srcOrd="1" destOrd="0" presId="urn:microsoft.com/office/officeart/2005/8/layout/hierarchy2"/>
    <dgm:cxn modelId="{34215D35-DA70-7441-9873-980A36050813}" type="presParOf" srcId="{28531130-0F45-4E61-B56C-AA41DBB01A52}" destId="{A5BFA9CC-16F0-4890-B958-A5F5CCF9014B}" srcOrd="0" destOrd="0" presId="urn:microsoft.com/office/officeart/2005/8/layout/hierarchy2"/>
    <dgm:cxn modelId="{7D3E02E9-E9A6-2543-8582-78DA78E97F41}" type="presParOf" srcId="{A5BFA9CC-16F0-4890-B958-A5F5CCF9014B}" destId="{AA1D8E24-D5BE-4848-8507-B2BE6A4D8543}" srcOrd="0" destOrd="0" presId="urn:microsoft.com/office/officeart/2005/8/layout/hierarchy2"/>
    <dgm:cxn modelId="{D624D5FF-C5C7-0B44-874D-9F8B8F4D9121}" type="presParOf" srcId="{28531130-0F45-4E61-B56C-AA41DBB01A52}" destId="{2426621F-C476-4D35-AD2E-6AD5B85A0CCF}" srcOrd="1" destOrd="0" presId="urn:microsoft.com/office/officeart/2005/8/layout/hierarchy2"/>
    <dgm:cxn modelId="{1F6E8941-53F1-2248-A402-E1BF25AD3546}" type="presParOf" srcId="{2426621F-C476-4D35-AD2E-6AD5B85A0CCF}" destId="{D8B99115-A95F-4F0F-8DFB-ADADEDB59632}" srcOrd="0" destOrd="0" presId="urn:microsoft.com/office/officeart/2005/8/layout/hierarchy2"/>
    <dgm:cxn modelId="{D1C5883B-496E-A04B-A18D-CA09BC26EA27}" type="presParOf" srcId="{2426621F-C476-4D35-AD2E-6AD5B85A0CCF}" destId="{02F063E1-35BD-484F-8D59-32E31117E0C8}" srcOrd="1" destOrd="0" presId="urn:microsoft.com/office/officeart/2005/8/layout/hierarchy2"/>
    <dgm:cxn modelId="{A577684E-667C-2B4F-B912-C765F71FBE5C}" type="presParOf" srcId="{02F063E1-35BD-484F-8D59-32E31117E0C8}" destId="{0437F1EC-CA61-4005-8853-A03E31260FC7}" srcOrd="0" destOrd="0" presId="urn:microsoft.com/office/officeart/2005/8/layout/hierarchy2"/>
    <dgm:cxn modelId="{B12EFD83-6EA9-5841-8F65-10DFAB04EB21}" type="presParOf" srcId="{0437F1EC-CA61-4005-8853-A03E31260FC7}" destId="{543792C5-2136-4751-A8BC-07E4FD23C400}" srcOrd="0" destOrd="0" presId="urn:microsoft.com/office/officeart/2005/8/layout/hierarchy2"/>
    <dgm:cxn modelId="{3A488225-F4CA-9746-8054-A759B20D90B3}" type="presParOf" srcId="{02F063E1-35BD-484F-8D59-32E31117E0C8}" destId="{7678A928-8BD4-4536-B699-425711AAF26E}" srcOrd="1" destOrd="0" presId="urn:microsoft.com/office/officeart/2005/8/layout/hierarchy2"/>
    <dgm:cxn modelId="{1D50E2CB-A225-A347-A6D1-2BF792E8ABD8}" type="presParOf" srcId="{7678A928-8BD4-4536-B699-425711AAF26E}" destId="{09031A57-CADF-4DE9-B9C2-6408AACBF53E}" srcOrd="0" destOrd="0" presId="urn:microsoft.com/office/officeart/2005/8/layout/hierarchy2"/>
    <dgm:cxn modelId="{2F0DBC46-21E5-C44F-9D8D-C7582D5BC3D7}" type="presParOf" srcId="{7678A928-8BD4-4536-B699-425711AAF26E}" destId="{6B91FB1C-8A05-43B4-B200-B3C8250CAD06}" srcOrd="1" destOrd="0" presId="urn:microsoft.com/office/officeart/2005/8/layout/hierarchy2"/>
    <dgm:cxn modelId="{785FE3D1-B793-1E4D-9AA8-148E89B64677}" type="presParOf" srcId="{02F063E1-35BD-484F-8D59-32E31117E0C8}" destId="{64861A52-9E49-4FA3-BA86-128F45E285AF}" srcOrd="2" destOrd="0" presId="urn:microsoft.com/office/officeart/2005/8/layout/hierarchy2"/>
    <dgm:cxn modelId="{6A1A6B40-00A4-EB47-8BF8-07783821F1C7}" type="presParOf" srcId="{64861A52-9E49-4FA3-BA86-128F45E285AF}" destId="{E8BCE38F-A7DC-4429-948B-0FD1C8D3928E}" srcOrd="0" destOrd="0" presId="urn:microsoft.com/office/officeart/2005/8/layout/hierarchy2"/>
    <dgm:cxn modelId="{976B74BA-4197-6648-AAB0-DF7551CD0B99}" type="presParOf" srcId="{02F063E1-35BD-484F-8D59-32E31117E0C8}" destId="{33E6D5B7-CFB5-4439-BACF-E501AB155B71}" srcOrd="3" destOrd="0" presId="urn:microsoft.com/office/officeart/2005/8/layout/hierarchy2"/>
    <dgm:cxn modelId="{06BE44FA-EDF3-074A-B9A3-D4F19D3740BD}" type="presParOf" srcId="{33E6D5B7-CFB5-4439-BACF-E501AB155B71}" destId="{91435DDE-3575-413B-B580-9971D12DE41E}" srcOrd="0" destOrd="0" presId="urn:microsoft.com/office/officeart/2005/8/layout/hierarchy2"/>
    <dgm:cxn modelId="{2BC6E0E9-1D44-6C4F-9FE3-6163BBDEB5E4}" type="presParOf" srcId="{33E6D5B7-CFB5-4439-BACF-E501AB155B71}" destId="{9F89089C-D757-4383-81E6-761A521EF137}" srcOrd="1" destOrd="0" presId="urn:microsoft.com/office/officeart/2005/8/layout/hierarchy2"/>
    <dgm:cxn modelId="{93AC7140-9F63-7F47-B50B-D485933F7EAC}" type="presParOf" srcId="{28531130-0F45-4E61-B56C-AA41DBB01A52}" destId="{8628521C-4B91-4462-B1BD-5D960E0E408B}" srcOrd="2" destOrd="0" presId="urn:microsoft.com/office/officeart/2005/8/layout/hierarchy2"/>
    <dgm:cxn modelId="{EABF63A4-21AB-1A40-A862-026202B96802}" type="presParOf" srcId="{8628521C-4B91-4462-B1BD-5D960E0E408B}" destId="{6EAC4A37-8EBD-4C88-B079-31B1C046835A}" srcOrd="0" destOrd="0" presId="urn:microsoft.com/office/officeart/2005/8/layout/hierarchy2"/>
    <dgm:cxn modelId="{9FB463DC-6A12-FD4E-B306-8A5D11204C0B}" type="presParOf" srcId="{28531130-0F45-4E61-B56C-AA41DBB01A52}" destId="{5ADC8CC6-C743-4308-938C-818E0672702A}" srcOrd="3" destOrd="0" presId="urn:microsoft.com/office/officeart/2005/8/layout/hierarchy2"/>
    <dgm:cxn modelId="{16C0421E-0D0B-8149-886E-63BBD78B48BD}" type="presParOf" srcId="{5ADC8CC6-C743-4308-938C-818E0672702A}" destId="{2DBABCF5-D2F3-4A00-BAFE-B04432F47353}" srcOrd="0" destOrd="0" presId="urn:microsoft.com/office/officeart/2005/8/layout/hierarchy2"/>
    <dgm:cxn modelId="{CC549655-11E8-AF4A-817D-705ACE5EB910}" type="presParOf" srcId="{5ADC8CC6-C743-4308-938C-818E0672702A}" destId="{E99D0272-394A-4A32-B0B0-08B5DB577756}" srcOrd="1" destOrd="0" presId="urn:microsoft.com/office/officeart/2005/8/layout/hierarchy2"/>
    <dgm:cxn modelId="{C7647830-E8D3-FB4A-B44D-1A1EE96C2AF6}" type="presParOf" srcId="{E99D0272-394A-4A32-B0B0-08B5DB577756}" destId="{703995A7-697E-4185-BC03-6A5C7256F6E8}" srcOrd="0" destOrd="0" presId="urn:microsoft.com/office/officeart/2005/8/layout/hierarchy2"/>
    <dgm:cxn modelId="{181ABA04-8C31-1041-9CAC-E2F65EF29140}" type="presParOf" srcId="{703995A7-697E-4185-BC03-6A5C7256F6E8}" destId="{3710685E-DBFA-461E-BFD2-5D959DEF1EDB}" srcOrd="0" destOrd="0" presId="urn:microsoft.com/office/officeart/2005/8/layout/hierarchy2"/>
    <dgm:cxn modelId="{C0D81D4F-FF4A-AF4F-BB7B-771FB75CD62A}" type="presParOf" srcId="{E99D0272-394A-4A32-B0B0-08B5DB577756}" destId="{03426EA8-3B1B-4597-883A-F80D4DA228A7}" srcOrd="1" destOrd="0" presId="urn:microsoft.com/office/officeart/2005/8/layout/hierarchy2"/>
    <dgm:cxn modelId="{1A329B62-45D1-F943-8ADA-5EF28B0E69A0}" type="presParOf" srcId="{03426EA8-3B1B-4597-883A-F80D4DA228A7}" destId="{36135FC4-C92F-49D4-9AE2-3D85155CF338}" srcOrd="0" destOrd="0" presId="urn:microsoft.com/office/officeart/2005/8/layout/hierarchy2"/>
    <dgm:cxn modelId="{A29C8D62-5AFB-DF4B-82FF-C3D87119EAC8}" type="presParOf" srcId="{03426EA8-3B1B-4597-883A-F80D4DA228A7}" destId="{96AA4309-E7EF-49FD-9A2E-D5195D00AC0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78C1EC-1A17-6D45-AC7A-F6A159F1AD91}" type="doc">
      <dgm:prSet loTypeId="urn:microsoft.com/office/officeart/2005/8/layout/cycle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BBD0D4E-8057-064C-87E5-90230579382E}">
      <dgm:prSet phldrT="[Text]" custT="1"/>
      <dgm:spPr/>
      <dgm:t>
        <a:bodyPr/>
        <a:lstStyle/>
        <a:p>
          <a:r>
            <a:rPr lang="cs-CZ" sz="900"/>
            <a:t>Ztráta paměti, která ovlivňuje schopnost plnit běžné pracovní úkoly</a:t>
          </a:r>
          <a:endParaRPr lang="en-US" sz="900"/>
        </a:p>
      </dgm:t>
    </dgm:pt>
    <dgm:pt modelId="{6BE2CD4D-51E0-7A4C-9E2B-67CB47986427}" type="parTrans" cxnId="{D5233FFC-033C-5642-8551-C4E395C452F8}">
      <dgm:prSet/>
      <dgm:spPr/>
      <dgm:t>
        <a:bodyPr/>
        <a:lstStyle/>
        <a:p>
          <a:endParaRPr lang="en-US" sz="900"/>
        </a:p>
      </dgm:t>
    </dgm:pt>
    <dgm:pt modelId="{49D94949-57C4-EE49-B8A6-41A95B0E0E26}" type="sibTrans" cxnId="{D5233FFC-033C-5642-8551-C4E395C452F8}">
      <dgm:prSet custT="1"/>
      <dgm:spPr/>
      <dgm:t>
        <a:bodyPr/>
        <a:lstStyle/>
        <a:p>
          <a:endParaRPr lang="en-US" sz="900"/>
        </a:p>
      </dgm:t>
    </dgm:pt>
    <dgm:pt modelId="{3CD9A765-785F-FD4A-90E2-1AFD60D4D87E}">
      <dgm:prSet custT="1"/>
      <dgm:spPr/>
      <dgm:t>
        <a:bodyPr/>
        <a:lstStyle/>
        <a:p>
          <a:r>
            <a:rPr lang="cs-CZ" sz="900"/>
            <a:t>Problémy s vykonáním běžných činností</a:t>
          </a:r>
          <a:endParaRPr lang="en-US" sz="900"/>
        </a:p>
      </dgm:t>
    </dgm:pt>
    <dgm:pt modelId="{9C297430-67AA-FF47-BD80-E95FA0E95497}" type="parTrans" cxnId="{DC19D044-E812-8F45-A8EF-700DABA038FD}">
      <dgm:prSet/>
      <dgm:spPr/>
      <dgm:t>
        <a:bodyPr/>
        <a:lstStyle/>
        <a:p>
          <a:endParaRPr lang="en-US" sz="900"/>
        </a:p>
      </dgm:t>
    </dgm:pt>
    <dgm:pt modelId="{A869497E-781C-1F4C-98CE-C96E253C0EBC}" type="sibTrans" cxnId="{DC19D044-E812-8F45-A8EF-700DABA038FD}">
      <dgm:prSet custT="1"/>
      <dgm:spPr/>
      <dgm:t>
        <a:bodyPr/>
        <a:lstStyle/>
        <a:p>
          <a:endParaRPr lang="en-US" sz="900"/>
        </a:p>
      </dgm:t>
    </dgm:pt>
    <dgm:pt modelId="{2606D58F-1837-6940-A68B-6250A8848D58}">
      <dgm:prSet custT="1"/>
      <dgm:spPr/>
      <dgm:t>
        <a:bodyPr/>
        <a:lstStyle/>
        <a:p>
          <a:r>
            <a:rPr lang="cs-CZ" sz="900"/>
            <a:t>Problémy s řečí</a:t>
          </a:r>
          <a:endParaRPr lang="en-US" sz="900"/>
        </a:p>
      </dgm:t>
    </dgm:pt>
    <dgm:pt modelId="{4DB5187C-1A69-7948-87D3-4B85163389D5}" type="parTrans" cxnId="{68F78F48-A008-424A-8DA9-31D481C878D6}">
      <dgm:prSet/>
      <dgm:spPr/>
      <dgm:t>
        <a:bodyPr/>
        <a:lstStyle/>
        <a:p>
          <a:endParaRPr lang="en-US" sz="900"/>
        </a:p>
      </dgm:t>
    </dgm:pt>
    <dgm:pt modelId="{6019D7BF-DB55-BD47-B601-E871F5F49F03}" type="sibTrans" cxnId="{68F78F48-A008-424A-8DA9-31D481C878D6}">
      <dgm:prSet custT="1"/>
      <dgm:spPr/>
      <dgm:t>
        <a:bodyPr/>
        <a:lstStyle/>
        <a:p>
          <a:endParaRPr lang="en-US" sz="900"/>
        </a:p>
      </dgm:t>
    </dgm:pt>
    <dgm:pt modelId="{016F3B77-BA7A-B647-A7CD-0694B01C6D66}">
      <dgm:prSet custT="1"/>
      <dgm:spPr/>
      <dgm:t>
        <a:bodyPr/>
        <a:lstStyle/>
        <a:p>
          <a:r>
            <a:rPr lang="cs-CZ" sz="900"/>
            <a:t>Časová a místní dezorientace</a:t>
          </a:r>
          <a:endParaRPr lang="en-US" sz="900"/>
        </a:p>
      </dgm:t>
    </dgm:pt>
    <dgm:pt modelId="{1312A707-1D30-9940-912F-E6CE2DE6A0C9}" type="parTrans" cxnId="{FD91006A-2349-B046-A205-9D8D8D838BAE}">
      <dgm:prSet/>
      <dgm:spPr/>
      <dgm:t>
        <a:bodyPr/>
        <a:lstStyle/>
        <a:p>
          <a:endParaRPr lang="en-US" sz="900"/>
        </a:p>
      </dgm:t>
    </dgm:pt>
    <dgm:pt modelId="{AD234DF7-C3D9-DB42-A34B-E9A13223E043}" type="sibTrans" cxnId="{FD91006A-2349-B046-A205-9D8D8D838BAE}">
      <dgm:prSet custT="1"/>
      <dgm:spPr/>
      <dgm:t>
        <a:bodyPr/>
        <a:lstStyle/>
        <a:p>
          <a:endParaRPr lang="en-US" sz="900"/>
        </a:p>
      </dgm:t>
    </dgm:pt>
    <dgm:pt modelId="{1F0581CE-7B6A-634C-AAB0-99742743D4F7}">
      <dgm:prSet custT="1"/>
      <dgm:spPr/>
      <dgm:t>
        <a:bodyPr/>
        <a:lstStyle/>
        <a:p>
          <a:r>
            <a:rPr lang="cs-CZ" sz="900"/>
            <a:t>Špatný nebo zhoršující se racionální úsudek</a:t>
          </a:r>
          <a:endParaRPr lang="en-US" sz="900"/>
        </a:p>
      </dgm:t>
    </dgm:pt>
    <dgm:pt modelId="{FCC0159C-79FA-5C4D-8B7A-C25EB24F2991}" type="parTrans" cxnId="{A7C9EE48-271F-7A4D-BF01-E0D45E6DA157}">
      <dgm:prSet/>
      <dgm:spPr/>
      <dgm:t>
        <a:bodyPr/>
        <a:lstStyle/>
        <a:p>
          <a:endParaRPr lang="en-US" sz="900"/>
        </a:p>
      </dgm:t>
    </dgm:pt>
    <dgm:pt modelId="{33F3BCCF-A897-3441-81C1-D472DCE620BB}" type="sibTrans" cxnId="{A7C9EE48-271F-7A4D-BF01-E0D45E6DA157}">
      <dgm:prSet custT="1"/>
      <dgm:spPr/>
      <dgm:t>
        <a:bodyPr/>
        <a:lstStyle/>
        <a:p>
          <a:endParaRPr lang="en-US" sz="900"/>
        </a:p>
      </dgm:t>
    </dgm:pt>
    <dgm:pt modelId="{21A72A9F-D303-734B-974D-6355F393F1B4}">
      <dgm:prSet custT="1"/>
      <dgm:spPr/>
      <dgm:t>
        <a:bodyPr/>
        <a:lstStyle/>
        <a:p>
          <a:r>
            <a:rPr lang="cs-CZ" sz="900"/>
            <a:t>Problémy s abstraktním myšlením</a:t>
          </a:r>
          <a:endParaRPr lang="en-US" sz="900"/>
        </a:p>
      </dgm:t>
    </dgm:pt>
    <dgm:pt modelId="{D30EFD34-6909-994A-AF63-4BE1B2EF7605}" type="parTrans" cxnId="{5E4F42CE-C0CE-1C48-8A61-E55E64B05B18}">
      <dgm:prSet/>
      <dgm:spPr/>
      <dgm:t>
        <a:bodyPr/>
        <a:lstStyle/>
        <a:p>
          <a:endParaRPr lang="en-US" sz="900"/>
        </a:p>
      </dgm:t>
    </dgm:pt>
    <dgm:pt modelId="{CED7FAA1-4F8D-0D45-A066-4D8E844E6C7F}" type="sibTrans" cxnId="{5E4F42CE-C0CE-1C48-8A61-E55E64B05B18}">
      <dgm:prSet custT="1"/>
      <dgm:spPr/>
      <dgm:t>
        <a:bodyPr/>
        <a:lstStyle/>
        <a:p>
          <a:endParaRPr lang="en-US" sz="900"/>
        </a:p>
      </dgm:t>
    </dgm:pt>
    <dgm:pt modelId="{401FCE42-9259-3D43-B0BC-64F949E4FB15}">
      <dgm:prSet custT="1"/>
      <dgm:spPr/>
      <dgm:t>
        <a:bodyPr/>
        <a:lstStyle/>
        <a:p>
          <a:r>
            <a:rPr lang="cs-CZ" sz="900"/>
            <a:t>Zakládání věcí na nesprávné místo</a:t>
          </a:r>
          <a:endParaRPr lang="en-US" sz="900"/>
        </a:p>
      </dgm:t>
    </dgm:pt>
    <dgm:pt modelId="{9443A3D8-144B-6141-AD86-D8060080AE59}" type="parTrans" cxnId="{AC0B9ADA-3D1C-E045-8B79-8F7F486EDFDD}">
      <dgm:prSet/>
      <dgm:spPr/>
      <dgm:t>
        <a:bodyPr/>
        <a:lstStyle/>
        <a:p>
          <a:endParaRPr lang="en-US" sz="900"/>
        </a:p>
      </dgm:t>
    </dgm:pt>
    <dgm:pt modelId="{FFF793E5-BDA7-9F4D-B7AB-2C74C5FD2870}" type="sibTrans" cxnId="{AC0B9ADA-3D1C-E045-8B79-8F7F486EDFDD}">
      <dgm:prSet custT="1"/>
      <dgm:spPr/>
      <dgm:t>
        <a:bodyPr/>
        <a:lstStyle/>
        <a:p>
          <a:endParaRPr lang="en-US" sz="900"/>
        </a:p>
      </dgm:t>
    </dgm:pt>
    <dgm:pt modelId="{53651304-8FE0-2A45-888D-B82258DB5A67}">
      <dgm:prSet custT="1"/>
      <dgm:spPr/>
      <dgm:t>
        <a:bodyPr/>
        <a:lstStyle/>
        <a:p>
          <a:r>
            <a:rPr lang="cs-CZ" sz="900"/>
            <a:t>Změny v náladě nebo chování</a:t>
          </a:r>
          <a:endParaRPr lang="en-US" sz="900"/>
        </a:p>
      </dgm:t>
    </dgm:pt>
    <dgm:pt modelId="{98D123D0-D473-D044-BE97-538308737102}" type="parTrans" cxnId="{A91995BD-98A1-4F4F-BE6E-8969460F533D}">
      <dgm:prSet/>
      <dgm:spPr/>
      <dgm:t>
        <a:bodyPr/>
        <a:lstStyle/>
        <a:p>
          <a:endParaRPr lang="en-US" sz="900"/>
        </a:p>
      </dgm:t>
    </dgm:pt>
    <dgm:pt modelId="{F079BE61-7542-4E4F-BE6E-1F07EDD352FF}" type="sibTrans" cxnId="{A91995BD-98A1-4F4F-BE6E-8969460F533D}">
      <dgm:prSet custT="1"/>
      <dgm:spPr/>
      <dgm:t>
        <a:bodyPr/>
        <a:lstStyle/>
        <a:p>
          <a:endParaRPr lang="en-US" sz="900"/>
        </a:p>
      </dgm:t>
    </dgm:pt>
    <dgm:pt modelId="{1A877650-269E-3148-8A08-CD6FCF157EAB}">
      <dgm:prSet custT="1"/>
      <dgm:spPr/>
      <dgm:t>
        <a:bodyPr/>
        <a:lstStyle/>
        <a:p>
          <a:r>
            <a:rPr lang="cs-CZ" sz="900"/>
            <a:t>Změny osobnosti</a:t>
          </a:r>
          <a:endParaRPr lang="en-US" sz="900"/>
        </a:p>
      </dgm:t>
    </dgm:pt>
    <dgm:pt modelId="{73CBB88B-22AB-D14D-BA2B-98F08408C2FD}" type="parTrans" cxnId="{4E2B72EF-16F9-A843-A48D-75BB9A3E7302}">
      <dgm:prSet/>
      <dgm:spPr/>
      <dgm:t>
        <a:bodyPr/>
        <a:lstStyle/>
        <a:p>
          <a:endParaRPr lang="en-US" sz="900"/>
        </a:p>
      </dgm:t>
    </dgm:pt>
    <dgm:pt modelId="{38B35566-6F09-DB41-A842-C65FE28820E9}" type="sibTrans" cxnId="{4E2B72EF-16F9-A843-A48D-75BB9A3E7302}">
      <dgm:prSet custT="1"/>
      <dgm:spPr/>
      <dgm:t>
        <a:bodyPr/>
        <a:lstStyle/>
        <a:p>
          <a:endParaRPr lang="en-US" sz="900"/>
        </a:p>
      </dgm:t>
    </dgm:pt>
    <dgm:pt modelId="{56770BDE-F16C-D44B-9BF4-6F2AC435295F}">
      <dgm:prSet custT="1"/>
      <dgm:spPr/>
      <dgm:t>
        <a:bodyPr/>
        <a:lstStyle/>
        <a:p>
          <a:r>
            <a:rPr lang="cs-CZ" sz="900"/>
            <a:t>Ztráta iniciativy</a:t>
          </a:r>
          <a:endParaRPr lang="en-US" sz="900"/>
        </a:p>
      </dgm:t>
    </dgm:pt>
    <dgm:pt modelId="{D4428402-23D3-824E-9B06-9DD5DCBAA76F}" type="parTrans" cxnId="{5877255A-4A66-034A-A75D-A61D89BCF9F4}">
      <dgm:prSet/>
      <dgm:spPr/>
      <dgm:t>
        <a:bodyPr/>
        <a:lstStyle/>
        <a:p>
          <a:endParaRPr lang="en-US" sz="900"/>
        </a:p>
      </dgm:t>
    </dgm:pt>
    <dgm:pt modelId="{4591EC67-E40F-6141-8E17-067201E81DF6}" type="sibTrans" cxnId="{5877255A-4A66-034A-A75D-A61D89BCF9F4}">
      <dgm:prSet custT="1"/>
      <dgm:spPr/>
      <dgm:t>
        <a:bodyPr/>
        <a:lstStyle/>
        <a:p>
          <a:endParaRPr lang="en-US" sz="900"/>
        </a:p>
      </dgm:t>
    </dgm:pt>
    <dgm:pt modelId="{8CF1F7FE-15BB-E840-B2A3-C8BD878CBC23}" type="pres">
      <dgm:prSet presAssocID="{3778C1EC-1A17-6D45-AC7A-F6A159F1AD9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6F229AB-B9BA-6441-81B1-DF6063CA5397}" type="pres">
      <dgm:prSet presAssocID="{5BBD0D4E-8057-064C-87E5-90230579382E}" presName="node" presStyleLbl="node1" presStyleIdx="0" presStyleCnt="10" custScaleX="272250" custRadScaleRad="98972" custRadScaleInc="431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665ACA-4845-BF47-815F-1DC1F06643A7}" type="pres">
      <dgm:prSet presAssocID="{49D94949-57C4-EE49-B8A6-41A95B0E0E26}" presName="sibTrans" presStyleLbl="sibTrans2D1" presStyleIdx="0" presStyleCnt="10"/>
      <dgm:spPr/>
      <dgm:t>
        <a:bodyPr/>
        <a:lstStyle/>
        <a:p>
          <a:endParaRPr lang="en-US"/>
        </a:p>
      </dgm:t>
    </dgm:pt>
    <dgm:pt modelId="{235A7098-1E23-FD44-83FF-CD2C532AF6BF}" type="pres">
      <dgm:prSet presAssocID="{49D94949-57C4-EE49-B8A6-41A95B0E0E26}" presName="connectorText" presStyleLbl="sibTrans2D1" presStyleIdx="0" presStyleCnt="10"/>
      <dgm:spPr/>
      <dgm:t>
        <a:bodyPr/>
        <a:lstStyle/>
        <a:p>
          <a:endParaRPr lang="en-US"/>
        </a:p>
      </dgm:t>
    </dgm:pt>
    <dgm:pt modelId="{DE6772AF-C144-C04C-ACB4-71D798817268}" type="pres">
      <dgm:prSet presAssocID="{3CD9A765-785F-FD4A-90E2-1AFD60D4D87E}" presName="node" presStyleLbl="node1" presStyleIdx="1" presStyleCnt="10" custScaleX="248474" custRadScaleRad="148649" custRadScaleInc="1188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CE1E4F-4E45-944C-901B-0481017621F0}" type="pres">
      <dgm:prSet presAssocID="{A869497E-781C-1F4C-98CE-C96E253C0EBC}" presName="sibTrans" presStyleLbl="sibTrans2D1" presStyleIdx="1" presStyleCnt="10"/>
      <dgm:spPr/>
      <dgm:t>
        <a:bodyPr/>
        <a:lstStyle/>
        <a:p>
          <a:endParaRPr lang="en-US"/>
        </a:p>
      </dgm:t>
    </dgm:pt>
    <dgm:pt modelId="{631A1970-0940-B443-A720-525CC9C90713}" type="pres">
      <dgm:prSet presAssocID="{A869497E-781C-1F4C-98CE-C96E253C0EBC}" presName="connectorText" presStyleLbl="sibTrans2D1" presStyleIdx="1" presStyleCnt="10"/>
      <dgm:spPr/>
      <dgm:t>
        <a:bodyPr/>
        <a:lstStyle/>
        <a:p>
          <a:endParaRPr lang="en-US"/>
        </a:p>
      </dgm:t>
    </dgm:pt>
    <dgm:pt modelId="{0FEF261C-0057-AC47-9E3D-ADF2D3EA79C0}" type="pres">
      <dgm:prSet presAssocID="{2606D58F-1837-6940-A68B-6250A8848D58}" presName="node" presStyleLbl="node1" presStyleIdx="2" presStyleCnt="10" custScaleX="246500" custRadScaleRad="154002" custRadScaleInc="455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45F43-DBC1-EA4F-85D5-85FCF6FAEA75}" type="pres">
      <dgm:prSet presAssocID="{6019D7BF-DB55-BD47-B601-E871F5F49F03}" presName="sibTrans" presStyleLbl="sibTrans2D1" presStyleIdx="2" presStyleCnt="10"/>
      <dgm:spPr/>
      <dgm:t>
        <a:bodyPr/>
        <a:lstStyle/>
        <a:p>
          <a:endParaRPr lang="en-US"/>
        </a:p>
      </dgm:t>
    </dgm:pt>
    <dgm:pt modelId="{107B3EDD-5DB5-F54A-AAFD-6194FDDF6312}" type="pres">
      <dgm:prSet presAssocID="{6019D7BF-DB55-BD47-B601-E871F5F49F03}" presName="connectorText" presStyleLbl="sibTrans2D1" presStyleIdx="2" presStyleCnt="10"/>
      <dgm:spPr/>
      <dgm:t>
        <a:bodyPr/>
        <a:lstStyle/>
        <a:p>
          <a:endParaRPr lang="en-US"/>
        </a:p>
      </dgm:t>
    </dgm:pt>
    <dgm:pt modelId="{9DB6C517-F857-BF44-93D7-41B9ED629531}" type="pres">
      <dgm:prSet presAssocID="{016F3B77-BA7A-B647-A7CD-0694B01C6D66}" presName="node" presStyleLbl="node1" presStyleIdx="3" presStyleCnt="10" custScaleX="268164" custRadScaleRad="149811" custRadScaleInc="-408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B01F3F-65B0-1543-99CC-14A6A2863F6F}" type="pres">
      <dgm:prSet presAssocID="{AD234DF7-C3D9-DB42-A34B-E9A13223E043}" presName="sibTrans" presStyleLbl="sibTrans2D1" presStyleIdx="3" presStyleCnt="10"/>
      <dgm:spPr/>
      <dgm:t>
        <a:bodyPr/>
        <a:lstStyle/>
        <a:p>
          <a:endParaRPr lang="en-US"/>
        </a:p>
      </dgm:t>
    </dgm:pt>
    <dgm:pt modelId="{DA2D3E29-BA45-0E4E-950A-FB2DF1296440}" type="pres">
      <dgm:prSet presAssocID="{AD234DF7-C3D9-DB42-A34B-E9A13223E043}" presName="connectorText" presStyleLbl="sibTrans2D1" presStyleIdx="3" presStyleCnt="10"/>
      <dgm:spPr/>
      <dgm:t>
        <a:bodyPr/>
        <a:lstStyle/>
        <a:p>
          <a:endParaRPr lang="en-US"/>
        </a:p>
      </dgm:t>
    </dgm:pt>
    <dgm:pt modelId="{5A229094-DD21-5848-BCA5-0170C4057402}" type="pres">
      <dgm:prSet presAssocID="{1F0581CE-7B6A-634C-AAB0-99742743D4F7}" presName="node" presStyleLbl="node1" presStyleIdx="4" presStyleCnt="10" custScaleX="270137" custRadScaleRad="146523" custRadScaleInc="-1081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79BF9D-0881-7F43-B38B-CAAB1F61E59A}" type="pres">
      <dgm:prSet presAssocID="{33F3BCCF-A897-3441-81C1-D472DCE620BB}" presName="sibTrans" presStyleLbl="sibTrans2D1" presStyleIdx="4" presStyleCnt="10"/>
      <dgm:spPr/>
      <dgm:t>
        <a:bodyPr/>
        <a:lstStyle/>
        <a:p>
          <a:endParaRPr lang="en-US"/>
        </a:p>
      </dgm:t>
    </dgm:pt>
    <dgm:pt modelId="{2CE8D0D2-BE79-224E-85E3-CBDE53CC3835}" type="pres">
      <dgm:prSet presAssocID="{33F3BCCF-A897-3441-81C1-D472DCE620BB}" presName="connectorText" presStyleLbl="sibTrans2D1" presStyleIdx="4" presStyleCnt="10"/>
      <dgm:spPr/>
      <dgm:t>
        <a:bodyPr/>
        <a:lstStyle/>
        <a:p>
          <a:endParaRPr lang="en-US"/>
        </a:p>
      </dgm:t>
    </dgm:pt>
    <dgm:pt modelId="{1D3AA853-AF38-E344-81BE-79FB4E742420}" type="pres">
      <dgm:prSet presAssocID="{21A72A9F-D303-734B-974D-6355F393F1B4}" presName="node" presStyleLbl="node1" presStyleIdx="5" presStyleCnt="10" custScaleX="250317" custScaleY="95009" custRadScaleRad="101779" custRadScaleInc="3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59052A-5835-FF41-897A-40ACDE1A4264}" type="pres">
      <dgm:prSet presAssocID="{CED7FAA1-4F8D-0D45-A066-4D8E844E6C7F}" presName="sibTrans" presStyleLbl="sibTrans2D1" presStyleIdx="5" presStyleCnt="10"/>
      <dgm:spPr/>
      <dgm:t>
        <a:bodyPr/>
        <a:lstStyle/>
        <a:p>
          <a:endParaRPr lang="en-US"/>
        </a:p>
      </dgm:t>
    </dgm:pt>
    <dgm:pt modelId="{F9BC45F3-82A3-4B45-83FC-77D2C05B3A06}" type="pres">
      <dgm:prSet presAssocID="{CED7FAA1-4F8D-0D45-A066-4D8E844E6C7F}" presName="connectorText" presStyleLbl="sibTrans2D1" presStyleIdx="5" presStyleCnt="10"/>
      <dgm:spPr/>
      <dgm:t>
        <a:bodyPr/>
        <a:lstStyle/>
        <a:p>
          <a:endParaRPr lang="en-US"/>
        </a:p>
      </dgm:t>
    </dgm:pt>
    <dgm:pt modelId="{84B36EE4-2817-6B48-8D0B-5214BBCC0A82}" type="pres">
      <dgm:prSet presAssocID="{401FCE42-9259-3D43-B0BC-64F949E4FB15}" presName="node" presStyleLbl="node1" presStyleIdx="6" presStyleCnt="10" custScaleX="230496" custRadScaleRad="143963" custRadScaleInc="1000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E2858-CA90-0E4C-8132-95B6853070D1}" type="pres">
      <dgm:prSet presAssocID="{FFF793E5-BDA7-9F4D-B7AB-2C74C5FD2870}" presName="sibTrans" presStyleLbl="sibTrans2D1" presStyleIdx="6" presStyleCnt="10"/>
      <dgm:spPr/>
      <dgm:t>
        <a:bodyPr/>
        <a:lstStyle/>
        <a:p>
          <a:endParaRPr lang="en-US"/>
        </a:p>
      </dgm:t>
    </dgm:pt>
    <dgm:pt modelId="{3435FEE0-1B24-0E46-B617-4A7649DB2469}" type="pres">
      <dgm:prSet presAssocID="{FFF793E5-BDA7-9F4D-B7AB-2C74C5FD2870}" presName="connectorText" presStyleLbl="sibTrans2D1" presStyleIdx="6" presStyleCnt="10"/>
      <dgm:spPr/>
      <dgm:t>
        <a:bodyPr/>
        <a:lstStyle/>
        <a:p>
          <a:endParaRPr lang="en-US"/>
        </a:p>
      </dgm:t>
    </dgm:pt>
    <dgm:pt modelId="{6568434C-AB25-534E-9507-D6B42041A7AE}" type="pres">
      <dgm:prSet presAssocID="{53651304-8FE0-2A45-888D-B82258DB5A67}" presName="node" presStyleLbl="node1" presStyleIdx="7" presStyleCnt="10" custScaleX="288366" custRadScaleRad="152590" custRadScaleInc="354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DE1112-A6F0-DA4F-A50E-D34814646730}" type="pres">
      <dgm:prSet presAssocID="{F079BE61-7542-4E4F-BE6E-1F07EDD352FF}" presName="sibTrans" presStyleLbl="sibTrans2D1" presStyleIdx="7" presStyleCnt="10"/>
      <dgm:spPr/>
      <dgm:t>
        <a:bodyPr/>
        <a:lstStyle/>
        <a:p>
          <a:endParaRPr lang="en-US"/>
        </a:p>
      </dgm:t>
    </dgm:pt>
    <dgm:pt modelId="{CECE6878-5B2F-204D-B24A-DC6F69D813FF}" type="pres">
      <dgm:prSet presAssocID="{F079BE61-7542-4E4F-BE6E-1F07EDD352FF}" presName="connectorText" presStyleLbl="sibTrans2D1" presStyleIdx="7" presStyleCnt="10"/>
      <dgm:spPr/>
      <dgm:t>
        <a:bodyPr/>
        <a:lstStyle/>
        <a:p>
          <a:endParaRPr lang="en-US"/>
        </a:p>
      </dgm:t>
    </dgm:pt>
    <dgm:pt modelId="{CCED6776-37BC-E74A-8B32-018FFD03442D}" type="pres">
      <dgm:prSet presAssocID="{1A877650-269E-3148-8A08-CD6FCF157EAB}" presName="node" presStyleLbl="node1" presStyleIdx="8" presStyleCnt="10" custScaleX="283707" custScaleY="106040" custRadScaleRad="162374" custRadScaleInc="-390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957EB6-AAFC-D247-86B2-AE35A5F316BE}" type="pres">
      <dgm:prSet presAssocID="{38B35566-6F09-DB41-A842-C65FE28820E9}" presName="sibTrans" presStyleLbl="sibTrans2D1" presStyleIdx="8" presStyleCnt="10"/>
      <dgm:spPr/>
      <dgm:t>
        <a:bodyPr/>
        <a:lstStyle/>
        <a:p>
          <a:endParaRPr lang="en-US"/>
        </a:p>
      </dgm:t>
    </dgm:pt>
    <dgm:pt modelId="{ECEAF13E-2A78-8C4A-A073-0C914E8B399A}" type="pres">
      <dgm:prSet presAssocID="{38B35566-6F09-DB41-A842-C65FE28820E9}" presName="connectorText" presStyleLbl="sibTrans2D1" presStyleIdx="8" presStyleCnt="10"/>
      <dgm:spPr/>
      <dgm:t>
        <a:bodyPr/>
        <a:lstStyle/>
        <a:p>
          <a:endParaRPr lang="en-US"/>
        </a:p>
      </dgm:t>
    </dgm:pt>
    <dgm:pt modelId="{3BA08C10-A4D7-144D-A104-C532E88DAEF6}" type="pres">
      <dgm:prSet presAssocID="{56770BDE-F16C-D44B-9BF4-6F2AC435295F}" presName="node" presStyleLbl="node1" presStyleIdx="9" presStyleCnt="10" custScaleX="290339" custRadScaleRad="135092" custRadScaleInc="-802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6A6B88-9E23-EA48-9D01-C32750848DA2}" type="pres">
      <dgm:prSet presAssocID="{4591EC67-E40F-6141-8E17-067201E81DF6}" presName="sibTrans" presStyleLbl="sibTrans2D1" presStyleIdx="9" presStyleCnt="10"/>
      <dgm:spPr/>
      <dgm:t>
        <a:bodyPr/>
        <a:lstStyle/>
        <a:p>
          <a:endParaRPr lang="en-US"/>
        </a:p>
      </dgm:t>
    </dgm:pt>
    <dgm:pt modelId="{BE84637E-0077-D743-837B-DA3C5AFFB829}" type="pres">
      <dgm:prSet presAssocID="{4591EC67-E40F-6141-8E17-067201E81DF6}" presName="connectorText" presStyleLbl="sibTrans2D1" presStyleIdx="9" presStyleCnt="10"/>
      <dgm:spPr/>
      <dgm:t>
        <a:bodyPr/>
        <a:lstStyle/>
        <a:p>
          <a:endParaRPr lang="en-US"/>
        </a:p>
      </dgm:t>
    </dgm:pt>
  </dgm:ptLst>
  <dgm:cxnLst>
    <dgm:cxn modelId="{7320570E-5B3C-CC4F-A6E3-4E474F09EB91}" type="presOf" srcId="{AD234DF7-C3D9-DB42-A34B-E9A13223E043}" destId="{DA2D3E29-BA45-0E4E-950A-FB2DF1296440}" srcOrd="1" destOrd="0" presId="urn:microsoft.com/office/officeart/2005/8/layout/cycle2"/>
    <dgm:cxn modelId="{9ADBA2BF-32E6-6B42-BB7C-ECC12C4E4627}" type="presOf" srcId="{5BBD0D4E-8057-064C-87E5-90230579382E}" destId="{A6F229AB-B9BA-6441-81B1-DF6063CA5397}" srcOrd="0" destOrd="0" presId="urn:microsoft.com/office/officeart/2005/8/layout/cycle2"/>
    <dgm:cxn modelId="{17472183-2993-8445-9387-FBB272958E48}" type="presOf" srcId="{1A877650-269E-3148-8A08-CD6FCF157EAB}" destId="{CCED6776-37BC-E74A-8B32-018FFD03442D}" srcOrd="0" destOrd="0" presId="urn:microsoft.com/office/officeart/2005/8/layout/cycle2"/>
    <dgm:cxn modelId="{BBA27E7B-A0B1-E441-8D47-7ED98978EB92}" type="presOf" srcId="{21A72A9F-D303-734B-974D-6355F393F1B4}" destId="{1D3AA853-AF38-E344-81BE-79FB4E742420}" srcOrd="0" destOrd="0" presId="urn:microsoft.com/office/officeart/2005/8/layout/cycle2"/>
    <dgm:cxn modelId="{6E8C17D0-4CB4-7849-AEC2-107600894D63}" type="presOf" srcId="{3778C1EC-1A17-6D45-AC7A-F6A159F1AD91}" destId="{8CF1F7FE-15BB-E840-B2A3-C8BD878CBC23}" srcOrd="0" destOrd="0" presId="urn:microsoft.com/office/officeart/2005/8/layout/cycle2"/>
    <dgm:cxn modelId="{1E2D637F-076A-E54C-BF3A-3E4C2E1E9DB4}" type="presOf" srcId="{38B35566-6F09-DB41-A842-C65FE28820E9}" destId="{ECEAF13E-2A78-8C4A-A073-0C914E8B399A}" srcOrd="1" destOrd="0" presId="urn:microsoft.com/office/officeart/2005/8/layout/cycle2"/>
    <dgm:cxn modelId="{F9906B5E-AFA6-3A42-9856-80FA7A7F54F9}" type="presOf" srcId="{3CD9A765-785F-FD4A-90E2-1AFD60D4D87E}" destId="{DE6772AF-C144-C04C-ACB4-71D798817268}" srcOrd="0" destOrd="0" presId="urn:microsoft.com/office/officeart/2005/8/layout/cycle2"/>
    <dgm:cxn modelId="{44430C72-E29E-7F4C-8276-2F67FDB5291E}" type="presOf" srcId="{33F3BCCF-A897-3441-81C1-D472DCE620BB}" destId="{2CE8D0D2-BE79-224E-85E3-CBDE53CC3835}" srcOrd="1" destOrd="0" presId="urn:microsoft.com/office/officeart/2005/8/layout/cycle2"/>
    <dgm:cxn modelId="{5877255A-4A66-034A-A75D-A61D89BCF9F4}" srcId="{3778C1EC-1A17-6D45-AC7A-F6A159F1AD91}" destId="{56770BDE-F16C-D44B-9BF4-6F2AC435295F}" srcOrd="9" destOrd="0" parTransId="{D4428402-23D3-824E-9B06-9DD5DCBAA76F}" sibTransId="{4591EC67-E40F-6141-8E17-067201E81DF6}"/>
    <dgm:cxn modelId="{1B0D4CE6-B0E1-7247-8A1D-18D20ECD1B29}" type="presOf" srcId="{A869497E-781C-1F4C-98CE-C96E253C0EBC}" destId="{631A1970-0940-B443-A720-525CC9C90713}" srcOrd="1" destOrd="0" presId="urn:microsoft.com/office/officeart/2005/8/layout/cycle2"/>
    <dgm:cxn modelId="{17D8A3D8-552E-AD4C-8FC2-34AA0B467279}" type="presOf" srcId="{CED7FAA1-4F8D-0D45-A066-4D8E844E6C7F}" destId="{F9BC45F3-82A3-4B45-83FC-77D2C05B3A06}" srcOrd="1" destOrd="0" presId="urn:microsoft.com/office/officeart/2005/8/layout/cycle2"/>
    <dgm:cxn modelId="{A7C9EE48-271F-7A4D-BF01-E0D45E6DA157}" srcId="{3778C1EC-1A17-6D45-AC7A-F6A159F1AD91}" destId="{1F0581CE-7B6A-634C-AAB0-99742743D4F7}" srcOrd="4" destOrd="0" parTransId="{FCC0159C-79FA-5C4D-8B7A-C25EB24F2991}" sibTransId="{33F3BCCF-A897-3441-81C1-D472DCE620BB}"/>
    <dgm:cxn modelId="{13127A6B-2FE1-694A-8421-DB002ABADDE4}" type="presOf" srcId="{4591EC67-E40F-6141-8E17-067201E81DF6}" destId="{016A6B88-9E23-EA48-9D01-C32750848DA2}" srcOrd="0" destOrd="0" presId="urn:microsoft.com/office/officeart/2005/8/layout/cycle2"/>
    <dgm:cxn modelId="{21BA2FDD-1D95-2845-BB59-6A08D5D96E03}" type="presOf" srcId="{53651304-8FE0-2A45-888D-B82258DB5A67}" destId="{6568434C-AB25-534E-9507-D6B42041A7AE}" srcOrd="0" destOrd="0" presId="urn:microsoft.com/office/officeart/2005/8/layout/cycle2"/>
    <dgm:cxn modelId="{57E13E6D-B597-F545-A114-135A8937D161}" type="presOf" srcId="{FFF793E5-BDA7-9F4D-B7AB-2C74C5FD2870}" destId="{325E2858-CA90-0E4C-8132-95B6853070D1}" srcOrd="0" destOrd="0" presId="urn:microsoft.com/office/officeart/2005/8/layout/cycle2"/>
    <dgm:cxn modelId="{FD91006A-2349-B046-A205-9D8D8D838BAE}" srcId="{3778C1EC-1A17-6D45-AC7A-F6A159F1AD91}" destId="{016F3B77-BA7A-B647-A7CD-0694B01C6D66}" srcOrd="3" destOrd="0" parTransId="{1312A707-1D30-9940-912F-E6CE2DE6A0C9}" sibTransId="{AD234DF7-C3D9-DB42-A34B-E9A13223E043}"/>
    <dgm:cxn modelId="{04EF9C9F-F9C2-FE45-B6A3-3C4E6E46BBA4}" type="presOf" srcId="{49D94949-57C4-EE49-B8A6-41A95B0E0E26}" destId="{6F665ACA-4845-BF47-815F-1DC1F06643A7}" srcOrd="0" destOrd="0" presId="urn:microsoft.com/office/officeart/2005/8/layout/cycle2"/>
    <dgm:cxn modelId="{E58B7CE5-50E7-EF48-8F6F-050C996A3784}" type="presOf" srcId="{A869497E-781C-1F4C-98CE-C96E253C0EBC}" destId="{4CCE1E4F-4E45-944C-901B-0481017621F0}" srcOrd="0" destOrd="0" presId="urn:microsoft.com/office/officeart/2005/8/layout/cycle2"/>
    <dgm:cxn modelId="{5E269E2B-706C-FA4A-953D-DD588D658AAC}" type="presOf" srcId="{6019D7BF-DB55-BD47-B601-E871F5F49F03}" destId="{107B3EDD-5DB5-F54A-AAFD-6194FDDF6312}" srcOrd="1" destOrd="0" presId="urn:microsoft.com/office/officeart/2005/8/layout/cycle2"/>
    <dgm:cxn modelId="{AC0B9ADA-3D1C-E045-8B79-8F7F486EDFDD}" srcId="{3778C1EC-1A17-6D45-AC7A-F6A159F1AD91}" destId="{401FCE42-9259-3D43-B0BC-64F949E4FB15}" srcOrd="6" destOrd="0" parTransId="{9443A3D8-144B-6141-AD86-D8060080AE59}" sibTransId="{FFF793E5-BDA7-9F4D-B7AB-2C74C5FD2870}"/>
    <dgm:cxn modelId="{35657B2B-96A0-2F48-9832-6F477733D856}" type="presOf" srcId="{F079BE61-7542-4E4F-BE6E-1F07EDD352FF}" destId="{CECE6878-5B2F-204D-B24A-DC6F69D813FF}" srcOrd="1" destOrd="0" presId="urn:microsoft.com/office/officeart/2005/8/layout/cycle2"/>
    <dgm:cxn modelId="{68F78F48-A008-424A-8DA9-31D481C878D6}" srcId="{3778C1EC-1A17-6D45-AC7A-F6A159F1AD91}" destId="{2606D58F-1837-6940-A68B-6250A8848D58}" srcOrd="2" destOrd="0" parTransId="{4DB5187C-1A69-7948-87D3-4B85163389D5}" sibTransId="{6019D7BF-DB55-BD47-B601-E871F5F49F03}"/>
    <dgm:cxn modelId="{4BA8A8EC-B7D5-4745-9714-897B8947A266}" type="presOf" srcId="{6019D7BF-DB55-BD47-B601-E871F5F49F03}" destId="{EDF45F43-DBC1-EA4F-85D5-85FCF6FAEA75}" srcOrd="0" destOrd="0" presId="urn:microsoft.com/office/officeart/2005/8/layout/cycle2"/>
    <dgm:cxn modelId="{114FAB0F-E47D-284C-9AB0-9D58C8130777}" type="presOf" srcId="{FFF793E5-BDA7-9F4D-B7AB-2C74C5FD2870}" destId="{3435FEE0-1B24-0E46-B617-4A7649DB2469}" srcOrd="1" destOrd="0" presId="urn:microsoft.com/office/officeart/2005/8/layout/cycle2"/>
    <dgm:cxn modelId="{D5233FFC-033C-5642-8551-C4E395C452F8}" srcId="{3778C1EC-1A17-6D45-AC7A-F6A159F1AD91}" destId="{5BBD0D4E-8057-064C-87E5-90230579382E}" srcOrd="0" destOrd="0" parTransId="{6BE2CD4D-51E0-7A4C-9E2B-67CB47986427}" sibTransId="{49D94949-57C4-EE49-B8A6-41A95B0E0E26}"/>
    <dgm:cxn modelId="{90DE7CCD-B7BE-FE46-A119-F0371C58B4A3}" type="presOf" srcId="{016F3B77-BA7A-B647-A7CD-0694B01C6D66}" destId="{9DB6C517-F857-BF44-93D7-41B9ED629531}" srcOrd="0" destOrd="0" presId="urn:microsoft.com/office/officeart/2005/8/layout/cycle2"/>
    <dgm:cxn modelId="{6A124C38-571F-BA4C-9E56-877B07C54DBF}" type="presOf" srcId="{33F3BCCF-A897-3441-81C1-D472DCE620BB}" destId="{A679BF9D-0881-7F43-B38B-CAAB1F61E59A}" srcOrd="0" destOrd="0" presId="urn:microsoft.com/office/officeart/2005/8/layout/cycle2"/>
    <dgm:cxn modelId="{202EC69E-7157-734B-889C-31C9F4B616DC}" type="presOf" srcId="{F079BE61-7542-4E4F-BE6E-1F07EDD352FF}" destId="{E4DE1112-A6F0-DA4F-A50E-D34814646730}" srcOrd="0" destOrd="0" presId="urn:microsoft.com/office/officeart/2005/8/layout/cycle2"/>
    <dgm:cxn modelId="{B59A3544-C856-DE41-B445-AF796175D5E0}" type="presOf" srcId="{38B35566-6F09-DB41-A842-C65FE28820E9}" destId="{4B957EB6-AAFC-D247-86B2-AE35A5F316BE}" srcOrd="0" destOrd="0" presId="urn:microsoft.com/office/officeart/2005/8/layout/cycle2"/>
    <dgm:cxn modelId="{D16130C3-CDB6-2943-9A7E-042311C0667A}" type="presOf" srcId="{2606D58F-1837-6940-A68B-6250A8848D58}" destId="{0FEF261C-0057-AC47-9E3D-ADF2D3EA79C0}" srcOrd="0" destOrd="0" presId="urn:microsoft.com/office/officeart/2005/8/layout/cycle2"/>
    <dgm:cxn modelId="{C8F04771-4D04-5946-9AFE-AFC8F645A92B}" type="presOf" srcId="{AD234DF7-C3D9-DB42-A34B-E9A13223E043}" destId="{03B01F3F-65B0-1543-99CC-14A6A2863F6F}" srcOrd="0" destOrd="0" presId="urn:microsoft.com/office/officeart/2005/8/layout/cycle2"/>
    <dgm:cxn modelId="{5BEF0876-22F3-7745-9523-BFBDBDF3F149}" type="presOf" srcId="{56770BDE-F16C-D44B-9BF4-6F2AC435295F}" destId="{3BA08C10-A4D7-144D-A104-C532E88DAEF6}" srcOrd="0" destOrd="0" presId="urn:microsoft.com/office/officeart/2005/8/layout/cycle2"/>
    <dgm:cxn modelId="{35492933-284A-8A4E-BA94-E6D8B203F607}" type="presOf" srcId="{49D94949-57C4-EE49-B8A6-41A95B0E0E26}" destId="{235A7098-1E23-FD44-83FF-CD2C532AF6BF}" srcOrd="1" destOrd="0" presId="urn:microsoft.com/office/officeart/2005/8/layout/cycle2"/>
    <dgm:cxn modelId="{CF2341EB-2268-0242-812D-01BC019BA207}" type="presOf" srcId="{401FCE42-9259-3D43-B0BC-64F949E4FB15}" destId="{84B36EE4-2817-6B48-8D0B-5214BBCC0A82}" srcOrd="0" destOrd="0" presId="urn:microsoft.com/office/officeart/2005/8/layout/cycle2"/>
    <dgm:cxn modelId="{5E4F42CE-C0CE-1C48-8A61-E55E64B05B18}" srcId="{3778C1EC-1A17-6D45-AC7A-F6A159F1AD91}" destId="{21A72A9F-D303-734B-974D-6355F393F1B4}" srcOrd="5" destOrd="0" parTransId="{D30EFD34-6909-994A-AF63-4BE1B2EF7605}" sibTransId="{CED7FAA1-4F8D-0D45-A066-4D8E844E6C7F}"/>
    <dgm:cxn modelId="{A91995BD-98A1-4F4F-BE6E-8969460F533D}" srcId="{3778C1EC-1A17-6D45-AC7A-F6A159F1AD91}" destId="{53651304-8FE0-2A45-888D-B82258DB5A67}" srcOrd="7" destOrd="0" parTransId="{98D123D0-D473-D044-BE97-538308737102}" sibTransId="{F079BE61-7542-4E4F-BE6E-1F07EDD352FF}"/>
    <dgm:cxn modelId="{DC19D044-E812-8F45-A8EF-700DABA038FD}" srcId="{3778C1EC-1A17-6D45-AC7A-F6A159F1AD91}" destId="{3CD9A765-785F-FD4A-90E2-1AFD60D4D87E}" srcOrd="1" destOrd="0" parTransId="{9C297430-67AA-FF47-BD80-E95FA0E95497}" sibTransId="{A869497E-781C-1F4C-98CE-C96E253C0EBC}"/>
    <dgm:cxn modelId="{006876DB-8469-CA43-B51C-28ADCBED3F55}" type="presOf" srcId="{4591EC67-E40F-6141-8E17-067201E81DF6}" destId="{BE84637E-0077-D743-837B-DA3C5AFFB829}" srcOrd="1" destOrd="0" presId="urn:microsoft.com/office/officeart/2005/8/layout/cycle2"/>
    <dgm:cxn modelId="{F8C49B5D-F3D0-AC4A-9250-A991E1247359}" type="presOf" srcId="{1F0581CE-7B6A-634C-AAB0-99742743D4F7}" destId="{5A229094-DD21-5848-BCA5-0170C4057402}" srcOrd="0" destOrd="0" presId="urn:microsoft.com/office/officeart/2005/8/layout/cycle2"/>
    <dgm:cxn modelId="{4E2B72EF-16F9-A843-A48D-75BB9A3E7302}" srcId="{3778C1EC-1A17-6D45-AC7A-F6A159F1AD91}" destId="{1A877650-269E-3148-8A08-CD6FCF157EAB}" srcOrd="8" destOrd="0" parTransId="{73CBB88B-22AB-D14D-BA2B-98F08408C2FD}" sibTransId="{38B35566-6F09-DB41-A842-C65FE28820E9}"/>
    <dgm:cxn modelId="{ED8458C3-2C2C-CB4F-8EB0-0500111F6F75}" type="presOf" srcId="{CED7FAA1-4F8D-0D45-A066-4D8E844E6C7F}" destId="{D359052A-5835-FF41-897A-40ACDE1A4264}" srcOrd="0" destOrd="0" presId="urn:microsoft.com/office/officeart/2005/8/layout/cycle2"/>
    <dgm:cxn modelId="{EF882635-6B92-BB49-A0AD-CAD8019F975A}" type="presParOf" srcId="{8CF1F7FE-15BB-E840-B2A3-C8BD878CBC23}" destId="{A6F229AB-B9BA-6441-81B1-DF6063CA5397}" srcOrd="0" destOrd="0" presId="urn:microsoft.com/office/officeart/2005/8/layout/cycle2"/>
    <dgm:cxn modelId="{E5CF66CA-FE81-6642-89F4-A909BAD718BC}" type="presParOf" srcId="{8CF1F7FE-15BB-E840-B2A3-C8BD878CBC23}" destId="{6F665ACA-4845-BF47-815F-1DC1F06643A7}" srcOrd="1" destOrd="0" presId="urn:microsoft.com/office/officeart/2005/8/layout/cycle2"/>
    <dgm:cxn modelId="{10C5E893-64EE-434C-BECB-F351828DD863}" type="presParOf" srcId="{6F665ACA-4845-BF47-815F-1DC1F06643A7}" destId="{235A7098-1E23-FD44-83FF-CD2C532AF6BF}" srcOrd="0" destOrd="0" presId="urn:microsoft.com/office/officeart/2005/8/layout/cycle2"/>
    <dgm:cxn modelId="{909677EF-2248-6143-829B-6D8BAA319F51}" type="presParOf" srcId="{8CF1F7FE-15BB-E840-B2A3-C8BD878CBC23}" destId="{DE6772AF-C144-C04C-ACB4-71D798817268}" srcOrd="2" destOrd="0" presId="urn:microsoft.com/office/officeart/2005/8/layout/cycle2"/>
    <dgm:cxn modelId="{29562B45-2EA9-164C-8804-541DD43446AD}" type="presParOf" srcId="{8CF1F7FE-15BB-E840-B2A3-C8BD878CBC23}" destId="{4CCE1E4F-4E45-944C-901B-0481017621F0}" srcOrd="3" destOrd="0" presId="urn:microsoft.com/office/officeart/2005/8/layout/cycle2"/>
    <dgm:cxn modelId="{55AB8F12-BD70-8B4E-98FE-406FC80B2695}" type="presParOf" srcId="{4CCE1E4F-4E45-944C-901B-0481017621F0}" destId="{631A1970-0940-B443-A720-525CC9C90713}" srcOrd="0" destOrd="0" presId="urn:microsoft.com/office/officeart/2005/8/layout/cycle2"/>
    <dgm:cxn modelId="{CDA1C8E4-0CD9-C54E-AAB8-DED40CB1DFE6}" type="presParOf" srcId="{8CF1F7FE-15BB-E840-B2A3-C8BD878CBC23}" destId="{0FEF261C-0057-AC47-9E3D-ADF2D3EA79C0}" srcOrd="4" destOrd="0" presId="urn:microsoft.com/office/officeart/2005/8/layout/cycle2"/>
    <dgm:cxn modelId="{A55F3A06-84A1-C94A-BC17-06DB1DE994C5}" type="presParOf" srcId="{8CF1F7FE-15BB-E840-B2A3-C8BD878CBC23}" destId="{EDF45F43-DBC1-EA4F-85D5-85FCF6FAEA75}" srcOrd="5" destOrd="0" presId="urn:microsoft.com/office/officeart/2005/8/layout/cycle2"/>
    <dgm:cxn modelId="{C4A21AAD-F2C2-7E4A-A30B-775551BAF732}" type="presParOf" srcId="{EDF45F43-DBC1-EA4F-85D5-85FCF6FAEA75}" destId="{107B3EDD-5DB5-F54A-AAFD-6194FDDF6312}" srcOrd="0" destOrd="0" presId="urn:microsoft.com/office/officeart/2005/8/layout/cycle2"/>
    <dgm:cxn modelId="{AD2A1C05-62E6-EC46-9B3C-7934D23A970B}" type="presParOf" srcId="{8CF1F7FE-15BB-E840-B2A3-C8BD878CBC23}" destId="{9DB6C517-F857-BF44-93D7-41B9ED629531}" srcOrd="6" destOrd="0" presId="urn:microsoft.com/office/officeart/2005/8/layout/cycle2"/>
    <dgm:cxn modelId="{83DC478D-65EE-2A4D-99C0-355206A52965}" type="presParOf" srcId="{8CF1F7FE-15BB-E840-B2A3-C8BD878CBC23}" destId="{03B01F3F-65B0-1543-99CC-14A6A2863F6F}" srcOrd="7" destOrd="0" presId="urn:microsoft.com/office/officeart/2005/8/layout/cycle2"/>
    <dgm:cxn modelId="{87335475-73C0-3544-AA5A-71FD12B86630}" type="presParOf" srcId="{03B01F3F-65B0-1543-99CC-14A6A2863F6F}" destId="{DA2D3E29-BA45-0E4E-950A-FB2DF1296440}" srcOrd="0" destOrd="0" presId="urn:microsoft.com/office/officeart/2005/8/layout/cycle2"/>
    <dgm:cxn modelId="{56D7210F-F5EB-4F41-9D90-054CE232E26C}" type="presParOf" srcId="{8CF1F7FE-15BB-E840-B2A3-C8BD878CBC23}" destId="{5A229094-DD21-5848-BCA5-0170C4057402}" srcOrd="8" destOrd="0" presId="urn:microsoft.com/office/officeart/2005/8/layout/cycle2"/>
    <dgm:cxn modelId="{484981FE-FF4C-B146-9D8E-24B6A22C4E5C}" type="presParOf" srcId="{8CF1F7FE-15BB-E840-B2A3-C8BD878CBC23}" destId="{A679BF9D-0881-7F43-B38B-CAAB1F61E59A}" srcOrd="9" destOrd="0" presId="urn:microsoft.com/office/officeart/2005/8/layout/cycle2"/>
    <dgm:cxn modelId="{1E576EE2-8A10-8B45-AF73-6227573EDB11}" type="presParOf" srcId="{A679BF9D-0881-7F43-B38B-CAAB1F61E59A}" destId="{2CE8D0D2-BE79-224E-85E3-CBDE53CC3835}" srcOrd="0" destOrd="0" presId="urn:microsoft.com/office/officeart/2005/8/layout/cycle2"/>
    <dgm:cxn modelId="{4EAC20D8-788F-FD49-957E-7B2C24DCE7ED}" type="presParOf" srcId="{8CF1F7FE-15BB-E840-B2A3-C8BD878CBC23}" destId="{1D3AA853-AF38-E344-81BE-79FB4E742420}" srcOrd="10" destOrd="0" presId="urn:microsoft.com/office/officeart/2005/8/layout/cycle2"/>
    <dgm:cxn modelId="{4A7EB078-EDC7-DF47-9A04-94DDCD694F06}" type="presParOf" srcId="{8CF1F7FE-15BB-E840-B2A3-C8BD878CBC23}" destId="{D359052A-5835-FF41-897A-40ACDE1A4264}" srcOrd="11" destOrd="0" presId="urn:microsoft.com/office/officeart/2005/8/layout/cycle2"/>
    <dgm:cxn modelId="{FD57E1EC-BFBD-3E4A-8D99-740C9B0983B5}" type="presParOf" srcId="{D359052A-5835-FF41-897A-40ACDE1A4264}" destId="{F9BC45F3-82A3-4B45-83FC-77D2C05B3A06}" srcOrd="0" destOrd="0" presId="urn:microsoft.com/office/officeart/2005/8/layout/cycle2"/>
    <dgm:cxn modelId="{650BFD5E-905D-EF4D-B481-F0B421B0DEEB}" type="presParOf" srcId="{8CF1F7FE-15BB-E840-B2A3-C8BD878CBC23}" destId="{84B36EE4-2817-6B48-8D0B-5214BBCC0A82}" srcOrd="12" destOrd="0" presId="urn:microsoft.com/office/officeart/2005/8/layout/cycle2"/>
    <dgm:cxn modelId="{A4F52054-2EDC-4646-B8D9-61B0B0D7EB89}" type="presParOf" srcId="{8CF1F7FE-15BB-E840-B2A3-C8BD878CBC23}" destId="{325E2858-CA90-0E4C-8132-95B6853070D1}" srcOrd="13" destOrd="0" presId="urn:microsoft.com/office/officeart/2005/8/layout/cycle2"/>
    <dgm:cxn modelId="{A9C6C79A-8A24-F74D-A33E-2A5C15EC9FD7}" type="presParOf" srcId="{325E2858-CA90-0E4C-8132-95B6853070D1}" destId="{3435FEE0-1B24-0E46-B617-4A7649DB2469}" srcOrd="0" destOrd="0" presId="urn:microsoft.com/office/officeart/2005/8/layout/cycle2"/>
    <dgm:cxn modelId="{5731CF4C-F746-9F43-80AC-809E3BD64EAB}" type="presParOf" srcId="{8CF1F7FE-15BB-E840-B2A3-C8BD878CBC23}" destId="{6568434C-AB25-534E-9507-D6B42041A7AE}" srcOrd="14" destOrd="0" presId="urn:microsoft.com/office/officeart/2005/8/layout/cycle2"/>
    <dgm:cxn modelId="{14B3D939-D674-B846-A7EA-100DD1C5B8EE}" type="presParOf" srcId="{8CF1F7FE-15BB-E840-B2A3-C8BD878CBC23}" destId="{E4DE1112-A6F0-DA4F-A50E-D34814646730}" srcOrd="15" destOrd="0" presId="urn:microsoft.com/office/officeart/2005/8/layout/cycle2"/>
    <dgm:cxn modelId="{A217C8F8-8DA8-7B45-B01F-54F5279584BD}" type="presParOf" srcId="{E4DE1112-A6F0-DA4F-A50E-D34814646730}" destId="{CECE6878-5B2F-204D-B24A-DC6F69D813FF}" srcOrd="0" destOrd="0" presId="urn:microsoft.com/office/officeart/2005/8/layout/cycle2"/>
    <dgm:cxn modelId="{4B4C015D-1FD0-C343-AD53-0C35BD6FDE2B}" type="presParOf" srcId="{8CF1F7FE-15BB-E840-B2A3-C8BD878CBC23}" destId="{CCED6776-37BC-E74A-8B32-018FFD03442D}" srcOrd="16" destOrd="0" presId="urn:microsoft.com/office/officeart/2005/8/layout/cycle2"/>
    <dgm:cxn modelId="{8C766F40-C870-DB43-ACE0-B836EF0E19AF}" type="presParOf" srcId="{8CF1F7FE-15BB-E840-B2A3-C8BD878CBC23}" destId="{4B957EB6-AAFC-D247-86B2-AE35A5F316BE}" srcOrd="17" destOrd="0" presId="urn:microsoft.com/office/officeart/2005/8/layout/cycle2"/>
    <dgm:cxn modelId="{1B1ABBDB-D51C-8948-8EB4-ABE9FE583600}" type="presParOf" srcId="{4B957EB6-AAFC-D247-86B2-AE35A5F316BE}" destId="{ECEAF13E-2A78-8C4A-A073-0C914E8B399A}" srcOrd="0" destOrd="0" presId="urn:microsoft.com/office/officeart/2005/8/layout/cycle2"/>
    <dgm:cxn modelId="{9958F2CC-E619-8840-B74D-D0DB46182598}" type="presParOf" srcId="{8CF1F7FE-15BB-E840-B2A3-C8BD878CBC23}" destId="{3BA08C10-A4D7-144D-A104-C532E88DAEF6}" srcOrd="18" destOrd="0" presId="urn:microsoft.com/office/officeart/2005/8/layout/cycle2"/>
    <dgm:cxn modelId="{A4E7451E-92F4-364C-AE07-2182E3BA424E}" type="presParOf" srcId="{8CF1F7FE-15BB-E840-B2A3-C8BD878CBC23}" destId="{016A6B88-9E23-EA48-9D01-C32750848DA2}" srcOrd="19" destOrd="0" presId="urn:microsoft.com/office/officeart/2005/8/layout/cycle2"/>
    <dgm:cxn modelId="{C6CCC5A3-5256-E24F-A803-0356AB12D750}" type="presParOf" srcId="{016A6B88-9E23-EA48-9D01-C32750848DA2}" destId="{BE84637E-0077-D743-837B-DA3C5AFFB82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EE4DB5-07A3-4942-8497-08A98C5B8BD7}">
      <dsp:nvSpPr>
        <dsp:cNvPr id="0" name=""/>
        <dsp:cNvSpPr/>
      </dsp:nvSpPr>
      <dsp:spPr>
        <a:xfrm>
          <a:off x="4423" y="1212665"/>
          <a:ext cx="1384645" cy="69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Objem poskytované péče</a:t>
          </a:r>
        </a:p>
      </dsp:txBody>
      <dsp:txXfrm>
        <a:off x="24700" y="1232942"/>
        <a:ext cx="1344091" cy="651768"/>
      </dsp:txXfrm>
    </dsp:sp>
    <dsp:sp modelId="{A5BFA9CC-16F0-4890-B958-A5F5CCF9014B}">
      <dsp:nvSpPr>
        <dsp:cNvPr id="0" name=""/>
        <dsp:cNvSpPr/>
      </dsp:nvSpPr>
      <dsp:spPr>
        <a:xfrm rot="18645010">
          <a:off x="1241756" y="1213729"/>
          <a:ext cx="84848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848484" y="237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1644785" y="1216224"/>
        <a:ext cx="42424" cy="42424"/>
      </dsp:txXfrm>
    </dsp:sp>
    <dsp:sp modelId="{D8B99115-A95F-4F0F-8DFB-ADADEDB59632}">
      <dsp:nvSpPr>
        <dsp:cNvPr id="0" name=""/>
        <dsp:cNvSpPr/>
      </dsp:nvSpPr>
      <dsp:spPr>
        <a:xfrm>
          <a:off x="1942927" y="569885"/>
          <a:ext cx="1384645" cy="69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Poptávka služeb, ochota populace služby využívat</a:t>
          </a:r>
        </a:p>
      </dsp:txBody>
      <dsp:txXfrm>
        <a:off x="1963204" y="590162"/>
        <a:ext cx="1344091" cy="651768"/>
      </dsp:txXfrm>
    </dsp:sp>
    <dsp:sp modelId="{0437F1EC-CA61-4005-8853-A03E31260FC7}">
      <dsp:nvSpPr>
        <dsp:cNvPr id="0" name=""/>
        <dsp:cNvSpPr/>
      </dsp:nvSpPr>
      <dsp:spPr>
        <a:xfrm rot="19457599">
          <a:off x="3263462" y="693296"/>
          <a:ext cx="682078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682078" y="23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3587449" y="699952"/>
        <a:ext cx="34103" cy="34103"/>
      </dsp:txXfrm>
    </dsp:sp>
    <dsp:sp modelId="{09031A57-CADF-4DE9-B9C2-6408AACBF53E}">
      <dsp:nvSpPr>
        <dsp:cNvPr id="0" name=""/>
        <dsp:cNvSpPr/>
      </dsp:nvSpPr>
      <dsp:spPr>
        <a:xfrm>
          <a:off x="3881431" y="80496"/>
          <a:ext cx="1384645" cy="874929"/>
        </a:xfrm>
        <a:prstGeom prst="roundRect">
          <a:avLst>
            <a:gd name="adj" fmla="val 10000"/>
          </a:avLst>
        </a:prstGeom>
        <a:solidFill>
          <a:srgbClr val="7F7F7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Potřeba formální péče (zdravotní stav - prevalence demence, sociální kontext včetně dostupnosti neformální péče)</a:t>
          </a:r>
        </a:p>
      </dsp:txBody>
      <dsp:txXfrm>
        <a:off x="3907057" y="106122"/>
        <a:ext cx="1333393" cy="823677"/>
      </dsp:txXfrm>
    </dsp:sp>
    <dsp:sp modelId="{64861A52-9E49-4FA3-BA86-128F45E285AF}">
      <dsp:nvSpPr>
        <dsp:cNvPr id="0" name=""/>
        <dsp:cNvSpPr/>
      </dsp:nvSpPr>
      <dsp:spPr>
        <a:xfrm rot="2487829">
          <a:off x="3234954" y="1137034"/>
          <a:ext cx="73909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739094" y="23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3586024" y="1142264"/>
        <a:ext cx="36954" cy="36954"/>
      </dsp:txXfrm>
    </dsp:sp>
    <dsp:sp modelId="{91435DDE-3575-413B-B580-9971D12DE41E}">
      <dsp:nvSpPr>
        <dsp:cNvPr id="0" name=""/>
        <dsp:cNvSpPr/>
      </dsp:nvSpPr>
      <dsp:spPr>
        <a:xfrm>
          <a:off x="3881431" y="1059274"/>
          <a:ext cx="1384645" cy="69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Vliv prostředí, vzdělání, kulturních a ostatních faktorů</a:t>
          </a:r>
        </a:p>
      </dsp:txBody>
      <dsp:txXfrm>
        <a:off x="3901708" y="1079551"/>
        <a:ext cx="1344091" cy="651768"/>
      </dsp:txXfrm>
    </dsp:sp>
    <dsp:sp modelId="{8628521C-4B91-4462-B1BD-5D960E0E408B}">
      <dsp:nvSpPr>
        <dsp:cNvPr id="0" name=""/>
        <dsp:cNvSpPr/>
      </dsp:nvSpPr>
      <dsp:spPr>
        <a:xfrm rot="2954990">
          <a:off x="1241756" y="1856509"/>
          <a:ext cx="848484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848484" y="237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1644785" y="1859005"/>
        <a:ext cx="42424" cy="42424"/>
      </dsp:txXfrm>
    </dsp:sp>
    <dsp:sp modelId="{2DBABCF5-D2F3-4A00-BAFE-B04432F47353}">
      <dsp:nvSpPr>
        <dsp:cNvPr id="0" name=""/>
        <dsp:cNvSpPr/>
      </dsp:nvSpPr>
      <dsp:spPr>
        <a:xfrm>
          <a:off x="1942927" y="1855445"/>
          <a:ext cx="1384645" cy="69232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Nabídka služeb, možnosti poskytovatelů služby nabízet</a:t>
          </a:r>
        </a:p>
      </dsp:txBody>
      <dsp:txXfrm>
        <a:off x="1963204" y="1875722"/>
        <a:ext cx="1344091" cy="651768"/>
      </dsp:txXfrm>
    </dsp:sp>
    <dsp:sp modelId="{703995A7-697E-4185-BC03-6A5C7256F6E8}">
      <dsp:nvSpPr>
        <dsp:cNvPr id="0" name=""/>
        <dsp:cNvSpPr/>
      </dsp:nvSpPr>
      <dsp:spPr>
        <a:xfrm>
          <a:off x="3327572" y="2177899"/>
          <a:ext cx="553858" cy="47414"/>
        </a:xfrm>
        <a:custGeom>
          <a:avLst/>
          <a:gdLst/>
          <a:ahLst/>
          <a:cxnLst/>
          <a:rect l="0" t="0" r="0" b="0"/>
          <a:pathLst>
            <a:path>
              <a:moveTo>
                <a:pt x="0" y="23707"/>
              </a:moveTo>
              <a:lnTo>
                <a:pt x="553858" y="23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3590655" y="2187760"/>
        <a:ext cx="27692" cy="27692"/>
      </dsp:txXfrm>
    </dsp:sp>
    <dsp:sp modelId="{36135FC4-C92F-49D4-9AE2-3D85155CF338}">
      <dsp:nvSpPr>
        <dsp:cNvPr id="0" name=""/>
        <dsp:cNvSpPr/>
      </dsp:nvSpPr>
      <dsp:spPr>
        <a:xfrm>
          <a:off x="3881431" y="1855445"/>
          <a:ext cx="1384645" cy="69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Dostupnost pracovní síly a ekonomických zdrojů, strategický a regulatorní rámec</a:t>
          </a:r>
        </a:p>
      </dsp:txBody>
      <dsp:txXfrm>
        <a:off x="3901708" y="1875722"/>
        <a:ext cx="1344091" cy="6517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F229AB-B9BA-6441-81B1-DF6063CA5397}">
      <dsp:nvSpPr>
        <dsp:cNvPr id="0" name=""/>
        <dsp:cNvSpPr/>
      </dsp:nvSpPr>
      <dsp:spPr>
        <a:xfrm>
          <a:off x="2118196" y="33539"/>
          <a:ext cx="1427536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Ztráta paměti, která ovlivňuje schopnost plnit běžné pracovní úkoly</a:t>
          </a:r>
          <a:endParaRPr lang="en-US" sz="900" kern="1200"/>
        </a:p>
      </dsp:txBody>
      <dsp:txXfrm>
        <a:off x="2327254" y="110328"/>
        <a:ext cx="1009420" cy="370769"/>
      </dsp:txXfrm>
    </dsp:sp>
    <dsp:sp modelId="{6F665ACA-4845-BF47-815F-1DC1F06643A7}">
      <dsp:nvSpPr>
        <dsp:cNvPr id="0" name=""/>
        <dsp:cNvSpPr/>
      </dsp:nvSpPr>
      <dsp:spPr>
        <a:xfrm rot="547369">
          <a:off x="3521599" y="325063"/>
          <a:ext cx="88311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521767" y="358356"/>
        <a:ext cx="61818" cy="106181"/>
      </dsp:txXfrm>
    </dsp:sp>
    <dsp:sp modelId="{DE6772AF-C144-C04C-ACB4-71D798817268}">
      <dsp:nvSpPr>
        <dsp:cNvPr id="0" name=""/>
        <dsp:cNvSpPr/>
      </dsp:nvSpPr>
      <dsp:spPr>
        <a:xfrm>
          <a:off x="3604096" y="262138"/>
          <a:ext cx="1302868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Problémy s vykonáním běžných činností</a:t>
          </a:r>
          <a:endParaRPr lang="en-US" sz="900" kern="1200"/>
        </a:p>
      </dsp:txBody>
      <dsp:txXfrm>
        <a:off x="3794897" y="338927"/>
        <a:ext cx="921266" cy="370769"/>
      </dsp:txXfrm>
    </dsp:sp>
    <dsp:sp modelId="{4CCE1E4F-4E45-944C-901B-0481017621F0}">
      <dsp:nvSpPr>
        <dsp:cNvPr id="0" name=""/>
        <dsp:cNvSpPr/>
      </dsp:nvSpPr>
      <dsp:spPr>
        <a:xfrm rot="3826928">
          <a:off x="4372473" y="776194"/>
          <a:ext cx="101338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380958" y="797950"/>
        <a:ext cx="70937" cy="106181"/>
      </dsp:txXfrm>
    </dsp:sp>
    <dsp:sp modelId="{0FEF261C-0057-AC47-9E3D-ADF2D3EA79C0}">
      <dsp:nvSpPr>
        <dsp:cNvPr id="0" name=""/>
        <dsp:cNvSpPr/>
      </dsp:nvSpPr>
      <dsp:spPr>
        <a:xfrm>
          <a:off x="3946992" y="947937"/>
          <a:ext cx="1292517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Problémy s řečí</a:t>
          </a:r>
          <a:endParaRPr lang="en-US" sz="900" kern="1200"/>
        </a:p>
      </dsp:txBody>
      <dsp:txXfrm>
        <a:off x="4136277" y="1024726"/>
        <a:ext cx="913947" cy="370769"/>
      </dsp:txXfrm>
    </dsp:sp>
    <dsp:sp modelId="{EDF45F43-DBC1-EA4F-85D5-85FCF6FAEA75}">
      <dsp:nvSpPr>
        <dsp:cNvPr id="0" name=""/>
        <dsp:cNvSpPr/>
      </dsp:nvSpPr>
      <dsp:spPr>
        <a:xfrm rot="5687540">
          <a:off x="4521699" y="1462088"/>
          <a:ext cx="86016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4535679" y="1484624"/>
        <a:ext cx="60211" cy="106181"/>
      </dsp:txXfrm>
    </dsp:sp>
    <dsp:sp modelId="{9DB6C517-F857-BF44-93D7-41B9ED629531}">
      <dsp:nvSpPr>
        <dsp:cNvPr id="0" name=""/>
        <dsp:cNvSpPr/>
      </dsp:nvSpPr>
      <dsp:spPr>
        <a:xfrm>
          <a:off x="3832699" y="1633734"/>
          <a:ext cx="1406112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Časová a místní dezorientace</a:t>
          </a:r>
          <a:endParaRPr lang="en-US" sz="900" kern="1200"/>
        </a:p>
      </dsp:txBody>
      <dsp:txXfrm>
        <a:off x="4038619" y="1710523"/>
        <a:ext cx="994272" cy="370769"/>
      </dsp:txXfrm>
    </dsp:sp>
    <dsp:sp modelId="{03B01F3F-65B0-1543-99CC-14A6A2863F6F}">
      <dsp:nvSpPr>
        <dsp:cNvPr id="0" name=""/>
        <dsp:cNvSpPr/>
      </dsp:nvSpPr>
      <dsp:spPr>
        <a:xfrm rot="6935332">
          <a:off x="4312723" y="2157188"/>
          <a:ext cx="111072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4336580" y="2177554"/>
        <a:ext cx="77750" cy="106181"/>
      </dsp:txXfrm>
    </dsp:sp>
    <dsp:sp modelId="{5A229094-DD21-5848-BCA5-0170C4057402}">
      <dsp:nvSpPr>
        <dsp:cNvPr id="0" name=""/>
        <dsp:cNvSpPr/>
      </dsp:nvSpPr>
      <dsp:spPr>
        <a:xfrm>
          <a:off x="3489793" y="2338990"/>
          <a:ext cx="1416457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Špatný nebo zhoršující se racionální úsudek</a:t>
          </a:r>
          <a:endParaRPr lang="en-US" sz="900" kern="1200"/>
        </a:p>
      </dsp:txBody>
      <dsp:txXfrm>
        <a:off x="3697228" y="2415779"/>
        <a:ext cx="1001587" cy="370769"/>
      </dsp:txXfrm>
    </dsp:sp>
    <dsp:sp modelId="{A679BF9D-0881-7F43-B38B-CAAB1F61E59A}">
      <dsp:nvSpPr>
        <dsp:cNvPr id="0" name=""/>
        <dsp:cNvSpPr/>
      </dsp:nvSpPr>
      <dsp:spPr>
        <a:xfrm rot="10301852">
          <a:off x="3338575" y="2627686"/>
          <a:ext cx="142699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3381161" y="2659988"/>
        <a:ext cx="99889" cy="106181"/>
      </dsp:txXfrm>
    </dsp:sp>
    <dsp:sp modelId="{1D3AA853-AF38-E344-81BE-79FB4E742420}">
      <dsp:nvSpPr>
        <dsp:cNvPr id="0" name=""/>
        <dsp:cNvSpPr/>
      </dsp:nvSpPr>
      <dsp:spPr>
        <a:xfrm>
          <a:off x="2003899" y="2576492"/>
          <a:ext cx="1312531" cy="49817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Problémy s abstraktním myšlením</a:t>
          </a:r>
          <a:endParaRPr lang="en-US" sz="900" kern="1200"/>
        </a:p>
      </dsp:txBody>
      <dsp:txXfrm>
        <a:off x="2196115" y="2649448"/>
        <a:ext cx="928099" cy="352265"/>
      </dsp:txXfrm>
    </dsp:sp>
    <dsp:sp modelId="{D359052A-5835-FF41-897A-40ACDE1A4264}">
      <dsp:nvSpPr>
        <dsp:cNvPr id="0" name=""/>
        <dsp:cNvSpPr/>
      </dsp:nvSpPr>
      <dsp:spPr>
        <a:xfrm rot="11272744">
          <a:off x="1826286" y="2632389"/>
          <a:ext cx="154514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1872421" y="2670959"/>
        <a:ext cx="108160" cy="106181"/>
      </dsp:txXfrm>
    </dsp:sp>
    <dsp:sp modelId="{84B36EE4-2817-6B48-8D0B-5214BBCC0A82}">
      <dsp:nvSpPr>
        <dsp:cNvPr id="0" name=""/>
        <dsp:cNvSpPr/>
      </dsp:nvSpPr>
      <dsp:spPr>
        <a:xfrm>
          <a:off x="574799" y="2358443"/>
          <a:ext cx="1208600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Zakládání věcí na nesprávné místo</a:t>
          </a:r>
          <a:endParaRPr lang="en-US" sz="900" kern="1200"/>
        </a:p>
      </dsp:txBody>
      <dsp:txXfrm>
        <a:off x="751794" y="2435232"/>
        <a:ext cx="854610" cy="370769"/>
      </dsp:txXfrm>
    </dsp:sp>
    <dsp:sp modelId="{325E2858-CA90-0E4C-8132-95B6853070D1}">
      <dsp:nvSpPr>
        <dsp:cNvPr id="0" name=""/>
        <dsp:cNvSpPr/>
      </dsp:nvSpPr>
      <dsp:spPr>
        <a:xfrm rot="14311718">
          <a:off x="917094" y="2193409"/>
          <a:ext cx="109334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942056" y="2242790"/>
        <a:ext cx="76534" cy="106181"/>
      </dsp:txXfrm>
    </dsp:sp>
    <dsp:sp modelId="{6568434C-AB25-534E-9507-D6B42041A7AE}">
      <dsp:nvSpPr>
        <dsp:cNvPr id="0" name=""/>
        <dsp:cNvSpPr/>
      </dsp:nvSpPr>
      <dsp:spPr>
        <a:xfrm>
          <a:off x="3293" y="1672647"/>
          <a:ext cx="1512040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Změny v náladě nebo chování</a:t>
          </a:r>
          <a:endParaRPr lang="en-US" sz="900" kern="1200"/>
        </a:p>
      </dsp:txBody>
      <dsp:txXfrm>
        <a:off x="224726" y="1749436"/>
        <a:ext cx="1069174" cy="370769"/>
      </dsp:txXfrm>
    </dsp:sp>
    <dsp:sp modelId="{E4DE1112-A6F0-DA4F-A50E-D34814646730}">
      <dsp:nvSpPr>
        <dsp:cNvPr id="0" name=""/>
        <dsp:cNvSpPr/>
      </dsp:nvSpPr>
      <dsp:spPr>
        <a:xfrm rot="16132030">
          <a:off x="687091" y="1465784"/>
          <a:ext cx="129394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706884" y="1520582"/>
        <a:ext cx="90576" cy="106181"/>
      </dsp:txXfrm>
    </dsp:sp>
    <dsp:sp modelId="{CCED6776-37BC-E74A-8B32-018FFD03442D}">
      <dsp:nvSpPr>
        <dsp:cNvPr id="0" name=""/>
        <dsp:cNvSpPr/>
      </dsp:nvSpPr>
      <dsp:spPr>
        <a:xfrm>
          <a:off x="0" y="872549"/>
          <a:ext cx="1487611" cy="55601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Změny osobnosti</a:t>
          </a:r>
          <a:endParaRPr lang="en-US" sz="900" kern="1200"/>
        </a:p>
      </dsp:txBody>
      <dsp:txXfrm>
        <a:off x="217856" y="953976"/>
        <a:ext cx="1051899" cy="393164"/>
      </dsp:txXfrm>
    </dsp:sp>
    <dsp:sp modelId="{4B957EB6-AAFC-D247-86B2-AE35A5F316BE}">
      <dsp:nvSpPr>
        <dsp:cNvPr id="0" name=""/>
        <dsp:cNvSpPr/>
      </dsp:nvSpPr>
      <dsp:spPr>
        <a:xfrm rot="18609858">
          <a:off x="979135" y="707338"/>
          <a:ext cx="128134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985958" y="757419"/>
        <a:ext cx="89694" cy="106181"/>
      </dsp:txXfrm>
    </dsp:sp>
    <dsp:sp modelId="{3BA08C10-A4D7-144D-A104-C532E88DAEF6}">
      <dsp:nvSpPr>
        <dsp:cNvPr id="0" name=""/>
        <dsp:cNvSpPr/>
      </dsp:nvSpPr>
      <dsp:spPr>
        <a:xfrm>
          <a:off x="574793" y="186746"/>
          <a:ext cx="1522386" cy="5243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Ztráta iniciativy</a:t>
          </a:r>
          <a:endParaRPr lang="en-US" sz="900" kern="1200"/>
        </a:p>
      </dsp:txBody>
      <dsp:txXfrm>
        <a:off x="797741" y="263535"/>
        <a:ext cx="1076490" cy="370769"/>
      </dsp:txXfrm>
    </dsp:sp>
    <dsp:sp modelId="{016A6B88-9E23-EA48-9D01-C32750848DA2}">
      <dsp:nvSpPr>
        <dsp:cNvPr id="0" name=""/>
        <dsp:cNvSpPr/>
      </dsp:nvSpPr>
      <dsp:spPr>
        <a:xfrm rot="21249154">
          <a:off x="2082838" y="281799"/>
          <a:ext cx="41989" cy="1769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082871" y="317834"/>
        <a:ext cx="29392" cy="106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4D2E1-B2BA-C34C-913C-FFDF74C2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4220</Words>
  <Characters>24057</Characters>
  <Application>Microsoft Macintosh Word</Application>
  <DocSecurity>0</DocSecurity>
  <Lines>200</Lines>
  <Paragraphs>56</Paragraphs>
  <ScaleCrop>false</ScaleCrop>
  <Company/>
  <LinksUpToDate>false</LinksUpToDate>
  <CharactersWithSpaces>28221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Mátlová</dc:creator>
  <cp:keywords/>
  <dc:description/>
  <cp:lastModifiedBy>Martina Mátlová</cp:lastModifiedBy>
  <cp:revision>2</cp:revision>
  <dcterms:created xsi:type="dcterms:W3CDTF">2014-12-10T07:43:00Z</dcterms:created>
  <dcterms:modified xsi:type="dcterms:W3CDTF">2014-12-10T07:43:00Z</dcterms:modified>
</cp:coreProperties>
</file>